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Arial"/>
          <w:b/>
          <w:bCs/>
          <w:color w:val="000000"/>
          <w:sz w:val="20"/>
          <w:szCs w:val="20"/>
          <w:u w:val="single"/>
        </w:rPr>
      </w:pPr>
      <w:r>
        <w:rPr>
          <w:rFonts w:cs="Arial" w:ascii="Verdana" w:hAnsi="Verdana"/>
          <w:b/>
          <w:bCs/>
          <w:color w:val="000000"/>
          <w:sz w:val="20"/>
          <w:szCs w:val="20"/>
          <w:u w:val="single"/>
        </w:rPr>
      </w:r>
    </w:p>
    <w:p>
      <w:pPr>
        <w:pStyle w:val="Normal"/>
        <w:spacing w:lineRule="auto" w:line="240"/>
        <w:jc w:val="center"/>
        <w:rPr>
          <w:rFonts w:ascii="Verdana" w:hAnsi="Verdana" w:cs="Arial"/>
          <w:b/>
          <w:bCs/>
          <w:color w:val="000000"/>
          <w:sz w:val="20"/>
          <w:szCs w:val="20"/>
          <w:u w:val="single"/>
        </w:rPr>
      </w:pPr>
      <w:r>
        <w:rPr>
          <w:rFonts w:cs="Arial" w:ascii="Verdana" w:hAnsi="Verdana"/>
          <w:b/>
          <w:bCs/>
          <w:color w:val="000000"/>
          <w:sz w:val="20"/>
          <w:szCs w:val="20"/>
          <w:u w:val="single"/>
        </w:rPr>
      </w:r>
    </w:p>
    <w:p>
      <w:pPr>
        <w:pStyle w:val="Normal"/>
        <w:spacing w:lineRule="auto" w:line="240"/>
        <w:jc w:val="center"/>
        <w:rPr>
          <w:rFonts w:ascii="Verdana" w:hAnsi="Verdana"/>
          <w:sz w:val="20"/>
          <w:szCs w:val="20"/>
        </w:rPr>
      </w:pPr>
      <w:r>
        <w:rPr>
          <w:rFonts w:cs="Arial" w:ascii="Verdana" w:hAnsi="Verdana"/>
          <w:b/>
          <w:bCs/>
          <w:color w:val="000000"/>
          <w:sz w:val="20"/>
          <w:szCs w:val="20"/>
          <w:u w:val="single"/>
        </w:rPr>
        <w:t>TERMO DE REFERÊNCIA  - LEI 14.133/21  de 01 de abril de 2021</w:t>
      </w:r>
    </w:p>
    <w:p>
      <w:pPr>
        <w:pStyle w:val="Normal"/>
        <w:spacing w:lineRule="auto" w:line="240"/>
        <w:jc w:val="center"/>
        <w:rPr>
          <w:rFonts w:ascii="Verdana" w:hAnsi="Verdana" w:cs="Arial"/>
          <w:b/>
          <w:bCs/>
          <w:color w:val="000000"/>
          <w:sz w:val="20"/>
          <w:szCs w:val="20"/>
          <w:u w:val="single"/>
        </w:rPr>
      </w:pPr>
      <w:r>
        <w:rPr>
          <w:rFonts w:cs="Arial" w:ascii="Verdana" w:hAnsi="Verdana"/>
          <w:b/>
          <w:bCs/>
          <w:color w:val="000000"/>
          <w:sz w:val="20"/>
          <w:szCs w:val="20"/>
          <w:u w:val="single"/>
        </w:rPr>
      </w:r>
    </w:p>
    <w:p>
      <w:pPr>
        <w:pStyle w:val="Normal"/>
        <w:spacing w:lineRule="auto" w:line="240"/>
        <w:jc w:val="center"/>
        <w:rPr>
          <w:rFonts w:ascii="Verdana" w:hAnsi="Verdana"/>
          <w:sz w:val="20"/>
          <w:szCs w:val="20"/>
        </w:rPr>
      </w:pPr>
      <w:r>
        <w:rPr>
          <w:rFonts w:eastAsia="Times New Roman" w:cs="Times New Roman" w:ascii="Verdana" w:hAnsi="Verdana"/>
          <w:b/>
          <w:bCs/>
          <w:iCs/>
          <w:color w:val="000000"/>
          <w:kern w:val="0"/>
          <w:sz w:val="20"/>
          <w:szCs w:val="20"/>
          <w:u w:val="none"/>
          <w:lang w:val="pt-BR" w:eastAsia="pt-BR" w:bidi="ar-SA"/>
        </w:rPr>
        <w:t>REGISTRO DE PREÇOS – AQUISIÇÃO DE EQUIPAMENTOS PARA USO NAS ESCOLAS MUNICIPAIS E NA SECRETARIA MUNICIPAL DE EDUCAÇÃO</w:t>
      </w:r>
    </w:p>
    <w:p>
      <w:pPr>
        <w:pStyle w:val="Normal"/>
        <w:spacing w:lineRule="auto" w:line="240"/>
        <w:jc w:val="center"/>
        <w:rPr>
          <w:rFonts w:ascii="Verdana" w:hAnsi="Verdana" w:eastAsia="Times New Roman" w:cs="Times New Roman"/>
          <w:b/>
          <w:bCs/>
          <w:iCs/>
          <w:color w:val="000000"/>
          <w:kern w:val="0"/>
          <w:sz w:val="20"/>
          <w:szCs w:val="20"/>
          <w:u w:val="none"/>
          <w:lang w:val="pt-BR" w:eastAsia="pt-BR" w:bidi="ar-SA"/>
        </w:rPr>
      </w:pPr>
      <w:r>
        <w:rPr>
          <w:rFonts w:eastAsia="Times New Roman" w:cs="Times New Roman" w:ascii="Verdana" w:hAnsi="Verdana"/>
          <w:b/>
          <w:bCs/>
          <w:iCs/>
          <w:color w:val="000000"/>
          <w:kern w:val="0"/>
          <w:sz w:val="20"/>
          <w:szCs w:val="20"/>
          <w:u w:val="none"/>
          <w:lang w:val="pt-BR" w:eastAsia="pt-BR" w:bidi="ar-SA"/>
        </w:rPr>
      </w:r>
    </w:p>
    <w:p>
      <w:pPr>
        <w:pStyle w:val="Normal"/>
        <w:spacing w:lineRule="auto" w:line="240"/>
        <w:jc w:val="center"/>
        <w:rPr>
          <w:rFonts w:ascii="Verdana" w:hAnsi="Verdana"/>
          <w:sz w:val="20"/>
          <w:szCs w:val="20"/>
        </w:rPr>
      </w:pPr>
      <w:r>
        <w:rPr>
          <w:rFonts w:cs="Arial" w:ascii="Verdana" w:hAnsi="Verdana"/>
          <w:b/>
          <w:bCs/>
          <w:iCs/>
          <w:color w:val="000000"/>
          <w:sz w:val="20"/>
          <w:szCs w:val="20"/>
        </w:rPr>
        <w:t xml:space="preserve">Processo Administrativo nº </w:t>
      </w:r>
      <w:r>
        <w:rPr>
          <w:rFonts w:eastAsia="Times New Roman" w:cs="Times New Roman" w:ascii="Verdana" w:hAnsi="Verdana"/>
          <w:b/>
          <w:bCs/>
          <w:iCs/>
          <w:color w:val="000000"/>
          <w:sz w:val="20"/>
          <w:szCs w:val="20"/>
        </w:rPr>
        <w:t>001771</w:t>
      </w:r>
      <w:r>
        <w:rPr>
          <w:rFonts w:cs="Arial" w:ascii="Verdana" w:hAnsi="Verdana"/>
          <w:b/>
          <w:bCs/>
          <w:iCs/>
          <w:color w:val="000000"/>
          <w:sz w:val="20"/>
          <w:szCs w:val="20"/>
        </w:rPr>
        <w:t>/2025 de 24 de março de 2025 (</w:t>
      </w:r>
      <w:r>
        <w:rPr>
          <w:rFonts w:eastAsia="Times New Roman" w:cs="Arial" w:ascii="Verdana" w:hAnsi="Verdana"/>
          <w:b/>
          <w:bCs/>
          <w:iCs/>
          <w:color w:val="000000"/>
          <w:kern w:val="0"/>
          <w:sz w:val="20"/>
          <w:szCs w:val="20"/>
          <w:lang w:val="pt-BR" w:eastAsia="pt-BR" w:bidi="ar-SA"/>
        </w:rPr>
        <w:t>Secretaria Municipal de Educação</w:t>
      </w:r>
      <w:r>
        <w:rPr>
          <w:rFonts w:cs="Arial" w:ascii="Verdana" w:hAnsi="Verdana"/>
          <w:b/>
          <w:bCs/>
          <w:iCs/>
          <w:color w:val="000000"/>
          <w:sz w:val="20"/>
          <w:szCs w:val="20"/>
        </w:rPr>
        <w:t>)</w:t>
      </w:r>
    </w:p>
    <w:p>
      <w:pPr>
        <w:pStyle w:val="Normal"/>
        <w:spacing w:lineRule="auto" w:line="240"/>
        <w:jc w:val="center"/>
        <w:rPr>
          <w:rFonts w:ascii="Verdana" w:hAnsi="Verdana" w:cs="Arial"/>
          <w:b/>
          <w:bCs/>
          <w:iCs/>
          <w:color w:val="000000"/>
          <w:sz w:val="20"/>
          <w:szCs w:val="20"/>
        </w:rPr>
      </w:pPr>
      <w:r>
        <w:rPr>
          <w:rFonts w:cs="Arial" w:ascii="Verdana" w:hAnsi="Verdana"/>
          <w:b/>
          <w:bCs/>
          <w:iCs/>
          <w:color w:val="000000"/>
          <w:sz w:val="20"/>
          <w:szCs w:val="20"/>
        </w:rPr>
      </w:r>
    </w:p>
    <w:p>
      <w:pPr>
        <w:pStyle w:val="Normal"/>
        <w:spacing w:lineRule="auto" w:line="240"/>
        <w:jc w:val="center"/>
        <w:rPr>
          <w:rFonts w:ascii="Verdana" w:hAnsi="Verdana" w:cs="Arial"/>
          <w:b/>
          <w:bCs/>
          <w:iCs/>
          <w:color w:val="000000"/>
          <w:sz w:val="20"/>
          <w:szCs w:val="20"/>
        </w:rPr>
      </w:pPr>
      <w:r>
        <w:rPr>
          <w:rFonts w:cs="Arial" w:ascii="Verdana" w:hAnsi="Verdana"/>
          <w:b/>
          <w:bCs/>
          <w:iCs/>
          <w:color w:val="000000"/>
          <w:sz w:val="20"/>
          <w:szCs w:val="20"/>
        </w:rPr>
      </w:r>
    </w:p>
    <w:p>
      <w:pPr>
        <w:pStyle w:val="Normal"/>
        <w:spacing w:lineRule="auto" w:line="240"/>
        <w:ind w:left="0" w:right="0" w:hanging="0"/>
        <w:jc w:val="both"/>
        <w:rPr>
          <w:rFonts w:ascii="Verdana" w:hAnsi="Verdana"/>
          <w:sz w:val="20"/>
          <w:szCs w:val="20"/>
        </w:rPr>
      </w:pPr>
      <w:r>
        <w:rPr>
          <w:rFonts w:ascii="Verdana" w:hAnsi="Verdana"/>
          <w:b/>
          <w:bCs/>
          <w:sz w:val="20"/>
          <w:szCs w:val="20"/>
        </w:rPr>
        <w:t xml:space="preserve">1. DAS CONDIÇÕES GERAIS DA CONTRATAÇÃO </w:t>
      </w:r>
    </w:p>
    <w:p>
      <w:pPr>
        <w:pStyle w:val="Normal"/>
        <w:tabs>
          <w:tab w:val="clear" w:pos="708"/>
          <w:tab w:val="left" w:pos="567" w:leader="none"/>
        </w:tabs>
        <w:spacing w:lineRule="auto" w:line="240"/>
        <w:ind w:right="0" w:hanging="0"/>
        <w:jc w:val="both"/>
        <w:rPr>
          <w:rFonts w:ascii="Verdana" w:hAnsi="Verdana"/>
          <w:sz w:val="20"/>
          <w:szCs w:val="20"/>
        </w:rPr>
      </w:pPr>
      <w:r>
        <w:rPr>
          <w:rFonts w:ascii="Verdana" w:hAnsi="Verdana"/>
          <w:b w:val="false"/>
          <w:bCs w:val="false"/>
          <w:sz w:val="20"/>
          <w:szCs w:val="20"/>
        </w:rPr>
        <w:t xml:space="preserve">1.1. Registro de preços </w:t>
      </w:r>
      <w:r>
        <w:rPr>
          <w:rFonts w:eastAsia="Times New Roman" w:cs="Arial" w:ascii="Verdana" w:hAnsi="Verdana"/>
          <w:bCs/>
          <w:iCs/>
          <w:sz w:val="20"/>
          <w:szCs w:val="20"/>
        </w:rPr>
        <w:t xml:space="preserve">para futura e eventual aquisição de equipamentos para as unidades escolares e Secretaria Municipal de Educação., </w:t>
      </w:r>
      <w:r>
        <w:rPr>
          <w:rFonts w:ascii="Verdana" w:hAnsi="Verdana"/>
          <w:iCs/>
          <w:sz w:val="20"/>
          <w:szCs w:val="20"/>
        </w:rPr>
        <w:t>nos termos da tabela abaixo, conforme condições e exigências estabelecidas neste instrumento e no ET.</w:t>
      </w:r>
    </w:p>
    <w:tbl>
      <w:tblPr>
        <w:tblW w:w="9633" w:type="dxa"/>
        <w:jc w:val="left"/>
        <w:tblInd w:w="196" w:type="dxa"/>
        <w:tblLayout w:type="fixed"/>
        <w:tblCellMar>
          <w:top w:w="0" w:type="dxa"/>
          <w:left w:w="108" w:type="dxa"/>
          <w:bottom w:w="0" w:type="dxa"/>
          <w:right w:w="108" w:type="dxa"/>
        </w:tblCellMar>
      </w:tblPr>
      <w:tblGrid>
        <w:gridCol w:w="800"/>
        <w:gridCol w:w="3783"/>
        <w:gridCol w:w="900"/>
        <w:gridCol w:w="1086"/>
        <w:gridCol w:w="1431"/>
        <w:gridCol w:w="1632"/>
      </w:tblGrid>
      <w:tr>
        <w:trPr/>
        <w:tc>
          <w:tcPr>
            <w:tcW w:w="8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b/>
                <w:bCs/>
                <w:color w:val="auto"/>
                <w:kern w:val="0"/>
                <w:sz w:val="20"/>
                <w:szCs w:val="20"/>
                <w:lang w:val="pt-BR" w:eastAsia="pt-BR" w:bidi="ar-SA"/>
              </w:rPr>
              <w:t>Item</w:t>
            </w:r>
          </w:p>
        </w:tc>
        <w:tc>
          <w:tcPr>
            <w:tcW w:w="378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Especificação</w:t>
            </w:r>
          </w:p>
        </w:tc>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Und</w:t>
            </w:r>
          </w:p>
        </w:tc>
        <w:tc>
          <w:tcPr>
            <w:tcW w:w="108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Quant.</w:t>
            </w:r>
          </w:p>
        </w:tc>
        <w:tc>
          <w:tcPr>
            <w:tcW w:w="143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Valor estimado unitário</w:t>
            </w:r>
          </w:p>
        </w:tc>
        <w:tc>
          <w:tcPr>
            <w:tcW w:w="16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sz w:val="20"/>
                <w:szCs w:val="20"/>
              </w:rPr>
            </w:pPr>
            <w:r>
              <w:rPr>
                <w:rFonts w:ascii="Verdana" w:hAnsi="Verdana"/>
                <w:b/>
                <w:bCs/>
                <w:sz w:val="20"/>
                <w:szCs w:val="20"/>
              </w:rPr>
              <w:t>Valor estimado total</w:t>
            </w:r>
          </w:p>
        </w:tc>
      </w:tr>
      <w:tr>
        <w:trPr/>
        <w:tc>
          <w:tcPr>
            <w:tcW w:w="8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rFonts w:ascii="Verdana" w:hAnsi="Verdana"/>
                <w:sz w:val="20"/>
                <w:szCs w:val="20"/>
              </w:rPr>
            </w:pPr>
            <w:r>
              <w:rPr>
                <w:rFonts w:ascii="Verdana" w:hAnsi="Verdana"/>
                <w:b w:val="false"/>
                <w:bCs w:val="false"/>
                <w:i w:val="false"/>
                <w:iCs w:val="false"/>
                <w:sz w:val="20"/>
                <w:szCs w:val="20"/>
              </w:rPr>
              <w:t>01</w:t>
            </w:r>
          </w:p>
        </w:tc>
        <w:tc>
          <w:tcPr>
            <w:tcW w:w="37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rFonts w:ascii="Verdana" w:hAnsi="Verdana"/>
                <w:sz w:val="20"/>
                <w:szCs w:val="20"/>
              </w:rPr>
            </w:pPr>
            <w:r>
              <w:rPr>
                <w:rFonts w:ascii="Verdana" w:hAnsi="Verdana"/>
                <w:b w:val="false"/>
                <w:bCs w:val="false"/>
                <w:sz w:val="20"/>
                <w:szCs w:val="20"/>
              </w:rPr>
              <w:t>Furadeira de impacto sendo adequada para materiais como concreto, madeira, metal, cerâmica e plástico. Com no mínimo 760w de potência, com uma velocidade variável de até 2.800 rpm e uma capacidade de impacto de até 44.800 ipm, ideal para aplicações exigentes.</w:t>
            </w:r>
          </w:p>
          <w:p>
            <w:pPr>
              <w:pStyle w:val="Normal"/>
              <w:widowControl w:val="false"/>
              <w:spacing w:lineRule="auto" w:line="240"/>
              <w:jc w:val="both"/>
              <w:rPr>
                <w:rFonts w:ascii="Verdana" w:hAnsi="Verdana"/>
                <w:sz w:val="20"/>
                <w:szCs w:val="20"/>
              </w:rPr>
            </w:pPr>
            <w:r>
              <w:rPr>
                <w:rFonts w:ascii="Verdana" w:hAnsi="Verdana"/>
                <w:b w:val="false"/>
                <w:bCs w:val="false"/>
                <w:sz w:val="20"/>
                <w:szCs w:val="20"/>
              </w:rPr>
              <w:t>TENSÃO: 110v ou 220v.</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auto"/>
                <w:kern w:val="0"/>
                <w:sz w:val="20"/>
                <w:szCs w:val="20"/>
                <w:lang w:val="pt-BR" w:eastAsia="pt-BR" w:bidi="ar-SA"/>
              </w:rPr>
              <w:t>UND.</w:t>
            </w:r>
          </w:p>
        </w:tc>
        <w:tc>
          <w:tcPr>
            <w:tcW w:w="10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color w:val="000000"/>
                <w:sz w:val="20"/>
                <w:szCs w:val="20"/>
              </w:rPr>
              <w:t>03</w:t>
            </w:r>
          </w:p>
        </w:tc>
        <w:tc>
          <w:tcPr>
            <w:tcW w:w="14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R$ 816,17</w:t>
            </w:r>
          </w:p>
        </w:tc>
        <w:tc>
          <w:tcPr>
            <w:tcW w:w="16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R$ 2.448,51</w:t>
            </w:r>
          </w:p>
        </w:tc>
      </w:tr>
      <w:tr>
        <w:trPr/>
        <w:tc>
          <w:tcPr>
            <w:tcW w:w="800"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rFonts w:ascii="Verdana" w:hAnsi="Verdana"/>
                <w:sz w:val="20"/>
                <w:szCs w:val="20"/>
              </w:rPr>
            </w:pPr>
            <w:r>
              <w:rPr>
                <w:rFonts w:ascii="Verdana" w:hAnsi="Verdana"/>
                <w:b w:val="false"/>
                <w:bCs w:val="false"/>
                <w:i w:val="false"/>
                <w:iCs w:val="false"/>
                <w:sz w:val="20"/>
                <w:szCs w:val="20"/>
              </w:rPr>
              <w:t>02</w:t>
            </w:r>
          </w:p>
        </w:tc>
        <w:tc>
          <w:tcPr>
            <w:tcW w:w="3783" w:type="dxa"/>
            <w:tcBorders>
              <w:left w:val="single" w:sz="4" w:space="0" w:color="000000"/>
              <w:bottom w:val="single" w:sz="4" w:space="0" w:color="000000"/>
              <w:right w:val="single" w:sz="4" w:space="0" w:color="000000"/>
            </w:tcBorders>
          </w:tcPr>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Parafusadeira e furaderia de 1/2 pol. (13mm) brushless motor a bateria 20v max* ion-litio com 2 baterias 2.0ah e carregador bivolt e maleta.</w:t>
            </w:r>
            <w:r>
              <w:rPr>
                <w:rFonts w:eastAsia="Times New Roman" w:cs="Arial" w:ascii="Verdana" w:hAnsi="Verdana"/>
                <w:b w:val="false"/>
                <w:bCs w:val="false"/>
                <w:color w:val="0F1111"/>
                <w:sz w:val="20"/>
                <w:szCs w:val="20"/>
                <w:lang w:eastAsia="pt-BR"/>
              </w:rPr>
              <w:t xml:space="preserve"> </w:t>
            </w:r>
            <w:r>
              <w:rPr>
                <w:rFonts w:cs="Arial" w:ascii="Verdana" w:hAnsi="Verdana"/>
                <w:b w:val="false"/>
                <w:bCs w:val="false"/>
                <w:sz w:val="20"/>
                <w:szCs w:val="20"/>
              </w:rPr>
              <w:t>Características</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motor brushless (sem escovas de carvão)</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mandril de ajuste rápido</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interruptor de velocidade variável design leve e compacto</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luz led aplicações voltagem: 20v</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velocidade: 0-500 / 0-1750 rpm torque:</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65nmmandril: 13mmcapacidade: madeira (25mm) metal (13mm)</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inclui (1) parafusadeira/furadeira</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(1) carregador de bateria (bivolt)</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(2) baterias 2ah</w:t>
            </w:r>
          </w:p>
          <w:p>
            <w:pPr>
              <w:pStyle w:val="Contedodoquadro"/>
              <w:widowControl w:val="false"/>
              <w:spacing w:lineRule="auto" w:line="240" w:before="0" w:after="160"/>
              <w:jc w:val="both"/>
              <w:rPr>
                <w:rFonts w:ascii="Verdana" w:hAnsi="Verdana"/>
                <w:sz w:val="20"/>
                <w:szCs w:val="20"/>
              </w:rPr>
            </w:pPr>
            <w:r>
              <w:rPr>
                <w:rFonts w:cs="Arial" w:ascii="Verdana" w:hAnsi="Verdana"/>
                <w:b w:val="false"/>
                <w:bCs w:val="false"/>
                <w:sz w:val="20"/>
                <w:szCs w:val="20"/>
              </w:rPr>
              <w:t>(1) caixa plástica.</w:t>
            </w:r>
          </w:p>
        </w:tc>
        <w:tc>
          <w:tcPr>
            <w:tcW w:w="90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auto"/>
                <w:kern w:val="0"/>
                <w:sz w:val="20"/>
                <w:szCs w:val="20"/>
                <w:lang w:val="pt-BR" w:eastAsia="pt-BR" w:bidi="ar-SA"/>
              </w:rPr>
              <w:t>UND</w:t>
            </w:r>
          </w:p>
        </w:tc>
        <w:tc>
          <w:tcPr>
            <w:tcW w:w="108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color w:val="000000"/>
                <w:sz w:val="20"/>
                <w:szCs w:val="20"/>
              </w:rPr>
              <w:t>03</w:t>
            </w:r>
          </w:p>
        </w:tc>
        <w:tc>
          <w:tcPr>
            <w:tcW w:w="143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R$ 906,82</w:t>
            </w:r>
          </w:p>
        </w:tc>
        <w:tc>
          <w:tcPr>
            <w:tcW w:w="1632"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R$ 45.341,00</w:t>
            </w:r>
          </w:p>
        </w:tc>
      </w:tr>
      <w:tr>
        <w:trPr>
          <w:trHeight w:val="1233" w:hRule="atLeast"/>
        </w:trPr>
        <w:tc>
          <w:tcPr>
            <w:tcW w:w="800"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rFonts w:ascii="Verdana" w:hAnsi="Verdana"/>
                <w:sz w:val="20"/>
                <w:szCs w:val="20"/>
              </w:rPr>
            </w:pPr>
            <w:r>
              <w:rPr>
                <w:rFonts w:ascii="Verdana" w:hAnsi="Verdana"/>
                <w:b w:val="false"/>
                <w:bCs w:val="false"/>
                <w:i w:val="false"/>
                <w:iCs w:val="false"/>
                <w:sz w:val="20"/>
                <w:szCs w:val="20"/>
              </w:rPr>
              <w:t>03</w:t>
            </w:r>
          </w:p>
        </w:tc>
        <w:tc>
          <w:tcPr>
            <w:tcW w:w="3783" w:type="dxa"/>
            <w:tcBorders>
              <w:left w:val="single" w:sz="4" w:space="0" w:color="000000"/>
              <w:bottom w:val="single" w:sz="4" w:space="0" w:color="000000"/>
              <w:right w:val="single" w:sz="4" w:space="0" w:color="000000"/>
            </w:tcBorders>
          </w:tcPr>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Lavadora de alta pressão -</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 xml:space="preserve"> </w:t>
            </w:r>
            <w:r>
              <w:rPr>
                <w:rFonts w:cs="Arial" w:ascii="Verdana" w:hAnsi="Verdana"/>
                <w:b w:val="false"/>
                <w:bCs w:val="false"/>
                <w:sz w:val="20"/>
                <w:szCs w:val="20"/>
              </w:rPr>
              <w:t>tensão: 110v,</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pressão de 2000 psi,</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 xml:space="preserve"> </w:t>
            </w:r>
            <w:r>
              <w:rPr>
                <w:rFonts w:cs="Arial" w:ascii="Verdana" w:hAnsi="Verdana"/>
                <w:b w:val="false"/>
                <w:bCs w:val="false"/>
                <w:sz w:val="20"/>
                <w:szCs w:val="20"/>
              </w:rPr>
              <w:t>potência de 1800 w,</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 xml:space="preserve"> </w:t>
            </w:r>
            <w:r>
              <w:rPr>
                <w:rFonts w:cs="Arial" w:ascii="Verdana" w:hAnsi="Verdana"/>
                <w:b w:val="false"/>
                <w:bCs w:val="false"/>
                <w:sz w:val="20"/>
                <w:szCs w:val="20"/>
              </w:rPr>
              <w:t>vazão de 360l/h,</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frequência de 60hz,</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acompanhada de 1 pistola de alta pressão com trava de segurança;</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1 bico regulável (leque e concentrado);</w:t>
            </w:r>
          </w:p>
          <w:p>
            <w:pPr>
              <w:pStyle w:val="Contedodoquadro"/>
              <w:widowControl w:val="false"/>
              <w:spacing w:lineRule="auto" w:line="240"/>
              <w:jc w:val="both"/>
              <w:rPr>
                <w:rFonts w:ascii="Verdana" w:hAnsi="Verdana"/>
                <w:sz w:val="20"/>
                <w:szCs w:val="20"/>
              </w:rPr>
            </w:pPr>
            <w:r>
              <w:rPr>
                <w:rFonts w:cs="Arial" w:ascii="Verdana" w:hAnsi="Verdana"/>
                <w:b w:val="false"/>
                <w:bCs w:val="false"/>
                <w:sz w:val="20"/>
                <w:szCs w:val="20"/>
              </w:rPr>
              <w:t>1 bico turbo;</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1 mangueira de alta pressão de 5 metros de material nylon;</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1 aplicador de detergente;</w:t>
            </w:r>
          </w:p>
          <w:p>
            <w:pPr>
              <w:pStyle w:val="Contedodoquadro"/>
              <w:widowControl w:val="false"/>
              <w:spacing w:lineRule="auto" w:line="240" w:before="0" w:after="0"/>
              <w:jc w:val="both"/>
              <w:rPr>
                <w:rFonts w:ascii="Verdana" w:hAnsi="Verdana"/>
                <w:sz w:val="20"/>
                <w:szCs w:val="20"/>
              </w:rPr>
            </w:pPr>
            <w:r>
              <w:rPr>
                <w:rFonts w:cs="Arial" w:ascii="Verdana" w:hAnsi="Verdana"/>
                <w:b w:val="false"/>
                <w:bCs w:val="false"/>
                <w:sz w:val="20"/>
                <w:szCs w:val="20"/>
              </w:rPr>
              <w:t>1 engate rápido;</w:t>
            </w:r>
          </w:p>
          <w:p>
            <w:pPr>
              <w:pStyle w:val="Contedodoquadro"/>
              <w:widowControl w:val="false"/>
              <w:spacing w:lineRule="auto" w:line="240" w:before="0" w:after="160"/>
              <w:jc w:val="both"/>
              <w:rPr>
                <w:rFonts w:ascii="Verdana" w:hAnsi="Verdana"/>
                <w:sz w:val="20"/>
                <w:szCs w:val="20"/>
              </w:rPr>
            </w:pPr>
            <w:r>
              <w:rPr>
                <w:rFonts w:cs="Arial" w:ascii="Verdana" w:hAnsi="Verdana"/>
                <w:b w:val="false"/>
                <w:bCs w:val="false"/>
                <w:sz w:val="20"/>
                <w:szCs w:val="20"/>
              </w:rPr>
              <w:t>1 agulha de limpeza do bico;</w:t>
            </w:r>
          </w:p>
        </w:tc>
        <w:tc>
          <w:tcPr>
            <w:tcW w:w="90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auto"/>
                <w:kern w:val="0"/>
                <w:sz w:val="20"/>
                <w:szCs w:val="20"/>
                <w:lang w:val="pt-BR" w:eastAsia="pt-BR" w:bidi="ar-SA"/>
              </w:rPr>
              <w:t>UND</w:t>
            </w:r>
          </w:p>
        </w:tc>
        <w:tc>
          <w:tcPr>
            <w:tcW w:w="1086" w:type="dxa"/>
            <w:tcBorders>
              <w:left w:val="single" w:sz="4" w:space="0" w:color="000000"/>
              <w:bottom w:val="single" w:sz="4" w:space="0" w:color="000000"/>
              <w:right w:val="single" w:sz="4" w:space="0" w:color="000000"/>
            </w:tcBorders>
            <w:vAlign w:val="center"/>
          </w:tcPr>
          <w:p>
            <w:pPr>
              <w:pStyle w:val="Normal"/>
              <w:widowControl w:val="false"/>
              <w:spacing w:lineRule="auto" w:line="240"/>
              <w:jc w:val="center"/>
              <w:rPr>
                <w:rFonts w:ascii="Verdana" w:hAnsi="Verdana"/>
                <w:sz w:val="20"/>
                <w:szCs w:val="20"/>
              </w:rPr>
            </w:pPr>
            <w:r>
              <w:rPr>
                <w:rFonts w:cs="Arial" w:ascii="Verdana" w:hAnsi="Verdana"/>
                <w:color w:val="000000"/>
                <w:sz w:val="20"/>
                <w:szCs w:val="20"/>
              </w:rPr>
              <w:t>50</w:t>
            </w:r>
          </w:p>
        </w:tc>
        <w:tc>
          <w:tcPr>
            <w:tcW w:w="143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R$ 1.141,33</w:t>
            </w:r>
          </w:p>
        </w:tc>
        <w:tc>
          <w:tcPr>
            <w:tcW w:w="1632"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R$ 3.423,99</w:t>
            </w:r>
          </w:p>
        </w:tc>
      </w:tr>
      <w:tr>
        <w:trPr>
          <w:trHeight w:val="831" w:hRule="atLeast"/>
        </w:trPr>
        <w:tc>
          <w:tcPr>
            <w:tcW w:w="9632" w:type="dxa"/>
            <w:gridSpan w:val="6"/>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center"/>
              <w:rPr>
                <w:rFonts w:ascii="Verdana" w:hAnsi="Verdana"/>
                <w:b/>
                <w:bCs/>
                <w:sz w:val="20"/>
                <w:szCs w:val="20"/>
              </w:rPr>
            </w:pPr>
            <w:r>
              <w:rPr>
                <w:rFonts w:ascii="Verdana" w:hAnsi="Verdana"/>
                <w:b/>
                <w:bCs/>
                <w:sz w:val="20"/>
                <w:szCs w:val="20"/>
              </w:rPr>
            </w:r>
          </w:p>
          <w:p>
            <w:pPr>
              <w:pStyle w:val="Normal"/>
              <w:widowControl w:val="false"/>
              <w:tabs>
                <w:tab w:val="clear" w:pos="708"/>
              </w:tabs>
              <w:spacing w:lineRule="auto" w:line="240" w:before="0" w:after="0"/>
              <w:jc w:val="both"/>
              <w:rPr>
                <w:rFonts w:ascii="Verdana" w:hAnsi="Verdana"/>
                <w:b w:val="false"/>
                <w:bCs w:val="false"/>
                <w:sz w:val="20"/>
                <w:szCs w:val="20"/>
              </w:rPr>
            </w:pPr>
            <w:r>
              <w:rPr>
                <w:rFonts w:ascii="Verdana" w:hAnsi="Verdana"/>
                <w:b w:val="false"/>
                <w:bCs w:val="false"/>
                <w:sz w:val="20"/>
                <w:szCs w:val="20"/>
              </w:rPr>
              <w:t xml:space="preserve">VALOR TOTAL: R$ </w:t>
            </w:r>
            <w:r>
              <w:rPr>
                <w:rFonts w:eastAsia="Times New Roman" w:cs="Times New Roman" w:ascii="Verdana" w:hAnsi="Verdana"/>
                <w:b w:val="false"/>
                <w:bCs w:val="false"/>
                <w:color w:val="000000"/>
                <w:kern w:val="0"/>
                <w:sz w:val="20"/>
                <w:szCs w:val="20"/>
                <w:shd w:fill="auto" w:val="clear"/>
                <w:lang w:val="pt-BR" w:eastAsia="pt-BR" w:bidi="ar-SA"/>
              </w:rPr>
              <w:t>51.213,50 (cinquenta e um mil duzentos e treze reais e cinquenta centavos)</w:t>
            </w:r>
          </w:p>
        </w:tc>
      </w:tr>
    </w:tbl>
    <w:p>
      <w:pPr>
        <w:pStyle w:val="Normal"/>
        <w:tabs>
          <w:tab w:val="clear" w:pos="708"/>
          <w:tab w:val="left" w:pos="567" w:leader="none"/>
        </w:tabs>
        <w:spacing w:lineRule="auto" w:line="240"/>
        <w:ind w:left="0" w:right="0" w:hanging="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sz w:val="20"/>
          <w:szCs w:val="20"/>
        </w:rPr>
        <w:t xml:space="preserve">1.2. </w:t>
      </w:r>
      <w:r>
        <w:rPr>
          <w:rFonts w:cs="Arial" w:ascii="Verdana" w:hAnsi="Verdana"/>
          <w:iCs/>
          <w:sz w:val="20"/>
          <w:szCs w:val="20"/>
        </w:rPr>
        <w:t>Os objetos desta aquisição não se enquadram como sendo de bens de luxo, conforme Decreto nº 10.818, de 2021.</w:t>
      </w:r>
    </w:p>
    <w:p>
      <w:pPr>
        <w:pStyle w:val="ListParagraph"/>
        <w:suppressAutoHyphens w:val="false"/>
        <w:spacing w:lineRule="auto" w:line="240"/>
        <w:ind w:left="-22" w:right="0" w:hanging="0"/>
        <w:jc w:val="both"/>
        <w:rPr>
          <w:rFonts w:ascii="Verdana" w:hAnsi="Verdana"/>
          <w:sz w:val="20"/>
          <w:szCs w:val="20"/>
        </w:rPr>
      </w:pPr>
      <w:r>
        <w:rPr>
          <w:rFonts w:ascii="Verdana" w:hAnsi="Verdana"/>
          <w:b w:val="false"/>
          <w:bCs w:val="false"/>
          <w:iCs/>
          <w:sz w:val="20"/>
          <w:szCs w:val="20"/>
        </w:rPr>
        <w:t>1.3</w:t>
      </w:r>
      <w:r>
        <w:rPr>
          <w:rFonts w:ascii="Verdana" w:hAnsi="Verdana"/>
          <w:iCs/>
          <w:sz w:val="20"/>
          <w:szCs w:val="20"/>
        </w:rPr>
        <w:t xml:space="preserve">. </w:t>
      </w:r>
      <w:r>
        <w:rPr>
          <w:rFonts w:ascii="Verdana" w:hAnsi="Verdana"/>
          <w:sz w:val="20"/>
          <w:szCs w:val="20"/>
        </w:rPr>
        <w:t>O prazo de vigência da aquisição será de 12 (</w:t>
      </w:r>
      <w:r>
        <w:rPr>
          <w:rFonts w:eastAsia="Times New Roman" w:cs="Times New Roman" w:ascii="Verdana" w:hAnsi="Verdana"/>
          <w:color w:val="auto"/>
          <w:kern w:val="0"/>
          <w:sz w:val="20"/>
          <w:szCs w:val="20"/>
          <w:lang w:val="pt-BR" w:eastAsia="pt-BR" w:bidi="ar-SA"/>
        </w:rPr>
        <w:t>doze</w:t>
      </w:r>
      <w:r>
        <w:rPr>
          <w:rFonts w:ascii="Verdana" w:hAnsi="Verdana"/>
          <w:sz w:val="20"/>
          <w:szCs w:val="20"/>
        </w:rPr>
        <w:t xml:space="preserve">) </w:t>
      </w:r>
      <w:r>
        <w:rPr>
          <w:rFonts w:eastAsia="Times New Roman" w:cs="Times New Roman" w:ascii="Verdana" w:hAnsi="Verdana"/>
          <w:sz w:val="20"/>
          <w:szCs w:val="20"/>
        </w:rPr>
        <w:t>meses</w:t>
      </w:r>
      <w:r>
        <w:rPr>
          <w:rFonts w:ascii="Verdana" w:hAnsi="Verdana"/>
          <w:sz w:val="20"/>
          <w:szCs w:val="20"/>
        </w:rPr>
        <w:t>, com entrega em até 30 (trinta) dias contados da confirmação de recebimento da autorização de fornecimento emitida pelo Departamento de Compras e Contratos.</w:t>
      </w:r>
    </w:p>
    <w:p>
      <w:pPr>
        <w:pStyle w:val="Normal"/>
        <w:spacing w:lineRule="auto" w:line="240"/>
        <w:jc w:val="both"/>
        <w:rPr>
          <w:rFonts w:ascii="Verdana" w:hAnsi="Verdana"/>
          <w:sz w:val="20"/>
          <w:szCs w:val="20"/>
        </w:rPr>
      </w:pPr>
      <w:r>
        <w:rPr>
          <w:rFonts w:eastAsia="SimSun" w:cs="Arial" w:ascii="Verdana" w:hAnsi="Verdana"/>
          <w:b w:val="false"/>
          <w:bCs w:val="false"/>
          <w:i w:val="false"/>
          <w:iCs w:val="false"/>
          <w:sz w:val="20"/>
          <w:szCs w:val="20"/>
          <w:u w:val="none"/>
          <w:shd w:fill="auto" w:val="clear"/>
          <w:lang w:val="pt-BR"/>
        </w:rPr>
        <w:t>1.4. O custo estimado total da contratação é de R$</w:t>
      </w:r>
      <w:r>
        <w:rPr>
          <w:rFonts w:eastAsia="Times New Roman" w:cs="Times New Roman" w:ascii="Verdana" w:hAnsi="Verdana"/>
          <w:b w:val="false"/>
          <w:bCs w:val="false"/>
          <w:i w:val="false"/>
          <w:iCs w:val="false"/>
          <w:color w:val="000000"/>
          <w:sz w:val="20"/>
          <w:szCs w:val="20"/>
          <w:u w:val="none"/>
          <w:shd w:fill="auto" w:val="clear"/>
          <w:lang w:val="pt-BR" w:eastAsia="en-US"/>
        </w:rPr>
        <w:t xml:space="preserve"> </w:t>
      </w:r>
      <w:r>
        <w:rPr>
          <w:rFonts w:eastAsia="Times New Roman" w:cs="Times New Roman" w:ascii="Verdana" w:hAnsi="Verdana"/>
          <w:b w:val="false"/>
          <w:bCs w:val="false"/>
          <w:i w:val="false"/>
          <w:iCs w:val="false"/>
          <w:color w:val="000000"/>
          <w:kern w:val="0"/>
          <w:sz w:val="20"/>
          <w:szCs w:val="20"/>
          <w:u w:val="none"/>
          <w:shd w:fill="auto" w:val="clear"/>
          <w:lang w:val="pt-BR" w:eastAsia="pt-BR" w:bidi="ar-SA"/>
        </w:rPr>
        <w:t>51.213,50 (cinquenta e um mil duzentos e treze reais e cinquenta centavos)</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 xml:space="preserve"> </w:t>
      </w:r>
      <w:r>
        <w:rPr>
          <w:rFonts w:eastAsia="SimSun" w:cs="Arial" w:ascii="Verdana" w:hAnsi="Verdana"/>
          <w:b w:val="false"/>
          <w:bCs w:val="false"/>
          <w:i w:val="false"/>
          <w:iCs w:val="false"/>
          <w:sz w:val="20"/>
          <w:szCs w:val="20"/>
          <w:u w:val="none"/>
          <w:shd w:fill="auto" w:val="clear"/>
          <w:lang w:val="pt-BR"/>
        </w:rPr>
        <w:t>conforme custos unitários apostos nos orçamentos e no quadro comparativo de preços simples em anexo.</w:t>
      </w:r>
    </w:p>
    <w:p>
      <w:pPr>
        <w:pStyle w:val="Normal"/>
        <w:tabs>
          <w:tab w:val="clear" w:pos="708"/>
          <w:tab w:val="left" w:pos="567" w:leader="none"/>
        </w:tabs>
        <w:spacing w:lineRule="auto" w:line="240"/>
        <w:ind w:left="432" w:right="0" w:hanging="0"/>
        <w:jc w:val="both"/>
        <w:rPr>
          <w:rFonts w:ascii="Verdana" w:hAnsi="Verdana"/>
          <w:sz w:val="20"/>
          <w:szCs w:val="20"/>
        </w:rPr>
      </w:pPr>
      <w:r>
        <w:rPr>
          <w:rFonts w:ascii="Verdana" w:hAnsi="Verdana"/>
          <w:sz w:val="20"/>
          <w:szCs w:val="20"/>
        </w:rPr>
      </w:r>
    </w:p>
    <w:p>
      <w:pPr>
        <w:pStyle w:val="Normal"/>
        <w:spacing w:lineRule="auto" w:line="240"/>
        <w:ind w:left="0" w:right="0" w:hanging="0"/>
        <w:jc w:val="both"/>
        <w:rPr>
          <w:rFonts w:ascii="Verdana" w:hAnsi="Verdana"/>
          <w:sz w:val="20"/>
          <w:szCs w:val="20"/>
        </w:rPr>
      </w:pPr>
      <w:r>
        <w:rPr>
          <w:rFonts w:ascii="Verdana" w:hAnsi="Verdana"/>
          <w:b/>
          <w:bCs/>
          <w:sz w:val="20"/>
          <w:szCs w:val="20"/>
        </w:rPr>
        <w:t>2. DESCRIÇÃO DA NECESSIDADE DA CONTRATAÇÃO</w:t>
      </w:r>
    </w:p>
    <w:p>
      <w:pPr>
        <w:pStyle w:val="ListParagraph"/>
        <w:spacing w:lineRule="auto" w:line="240" w:before="0" w:after="0"/>
        <w:ind w:left="0" w:hanging="0"/>
        <w:contextualSpacing/>
        <w:jc w:val="both"/>
        <w:rPr>
          <w:rFonts w:ascii="Verdana" w:hAnsi="Verdana"/>
          <w:sz w:val="20"/>
          <w:szCs w:val="20"/>
        </w:rPr>
      </w:pPr>
      <w:r>
        <w:rPr>
          <w:rFonts w:eastAsia="Times New Roman" w:cs="Times New Roman" w:ascii="Verdana" w:hAnsi="Verdana"/>
          <w:b w:val="false"/>
          <w:bCs w:val="false"/>
          <w:color w:val="auto"/>
          <w:kern w:val="0"/>
          <w:sz w:val="20"/>
          <w:szCs w:val="20"/>
          <w:lang w:val="pt-BR" w:eastAsia="pt-BR" w:bidi="ar-SA"/>
        </w:rPr>
        <w:t>2.1. Contratação de empresa especializada, por meio de Realização de Ata de Registro de Preços, para aquisição de equipamentos.</w:t>
      </w:r>
    </w:p>
    <w:p>
      <w:pPr>
        <w:pStyle w:val="Normal"/>
        <w:spacing w:lineRule="auto" w:line="240"/>
        <w:jc w:val="both"/>
        <w:rPr>
          <w:rFonts w:ascii="Verdana" w:hAnsi="Verdana"/>
          <w:sz w:val="20"/>
          <w:szCs w:val="20"/>
        </w:rPr>
      </w:pPr>
      <w:r>
        <w:rPr>
          <w:rFonts w:ascii="Verdana" w:hAnsi="Verdana"/>
          <w:b w:val="false"/>
          <w:bCs w:val="false"/>
          <w:sz w:val="20"/>
          <w:szCs w:val="20"/>
        </w:rPr>
        <w:t>2.2. Considerando a necessidade de atendermos as escolas municipais com os equipamentos;</w:t>
      </w:r>
    </w:p>
    <w:p>
      <w:pPr>
        <w:pStyle w:val="ListParagraph"/>
        <w:spacing w:lineRule="auto" w:line="240" w:before="0" w:after="0"/>
        <w:ind w:left="0" w:hanging="0"/>
        <w:contextualSpacing/>
        <w:jc w:val="both"/>
        <w:rPr>
          <w:rFonts w:ascii="Verdana" w:hAnsi="Verdana"/>
          <w:sz w:val="20"/>
          <w:szCs w:val="20"/>
        </w:rPr>
      </w:pPr>
      <w:r>
        <w:rPr>
          <w:rFonts w:eastAsia="Times New Roman" w:cs="Times New Roman" w:ascii="Verdana" w:hAnsi="Verdana"/>
          <w:b w:val="false"/>
          <w:bCs w:val="false"/>
          <w:color w:val="auto"/>
          <w:kern w:val="0"/>
          <w:sz w:val="20"/>
          <w:szCs w:val="20"/>
          <w:lang w:val="pt-BR" w:eastAsia="pt-BR" w:bidi="ar-SA"/>
        </w:rPr>
        <w:t>2.3. Considerando que é responsabilidade da Secretaria Municipal de Educação dar suporte e equipar as escolas a fim de oferecer subsídios para um bom atendimento aos alunos e funcionários, faz se necessária a contratação.</w:t>
      </w:r>
    </w:p>
    <w:p>
      <w:pPr>
        <w:pStyle w:val="ListParagraph"/>
        <w:spacing w:lineRule="auto" w:line="240" w:before="0" w:after="0"/>
        <w:ind w:left="0" w:hanging="0"/>
        <w:contextualSpacing/>
        <w:jc w:val="both"/>
        <w:rPr>
          <w:rFonts w:ascii="Verdana" w:hAnsi="Verdana"/>
          <w:sz w:val="20"/>
          <w:szCs w:val="20"/>
        </w:rPr>
      </w:pPr>
      <w:r>
        <w:rPr>
          <w:rFonts w:eastAsia="Times New Roman" w:cs="Times New Roman" w:ascii="Verdana" w:hAnsi="Verdana"/>
          <w:b w:val="false"/>
          <w:bCs w:val="false"/>
          <w:color w:val="auto"/>
          <w:kern w:val="0"/>
          <w:sz w:val="20"/>
          <w:szCs w:val="20"/>
          <w:lang w:val="pt-BR" w:eastAsia="pt-BR" w:bidi="ar-SA"/>
        </w:rPr>
        <w:t xml:space="preserve"> </w:t>
      </w:r>
    </w:p>
    <w:p>
      <w:pPr>
        <w:pStyle w:val="Normal"/>
        <w:tabs>
          <w:tab w:val="clear" w:pos="708"/>
          <w:tab w:val="left" w:pos="335" w:leader="none"/>
        </w:tabs>
        <w:spacing w:lineRule="auto" w:line="240"/>
        <w:ind w:left="0" w:right="0" w:hanging="0"/>
        <w:jc w:val="both"/>
        <w:rPr>
          <w:rFonts w:ascii="Verdana" w:hAnsi="Verdana"/>
          <w:sz w:val="20"/>
          <w:szCs w:val="20"/>
        </w:rPr>
      </w:pPr>
      <w:r>
        <w:rPr>
          <w:rFonts w:ascii="Verdana" w:hAnsi="Verdana"/>
          <w:b/>
          <w:bCs/>
          <w:sz w:val="20"/>
          <w:szCs w:val="20"/>
          <w:shd w:fill="auto" w:val="clear"/>
        </w:rPr>
        <w:t>3. DESCRIÇÃO DA SOLUÇÃO</w:t>
      </w:r>
    </w:p>
    <w:p>
      <w:pPr>
        <w:pStyle w:val="ListParagraph"/>
        <w:tabs>
          <w:tab w:val="clear" w:pos="708"/>
          <w:tab w:val="left" w:pos="3390" w:leader="none"/>
          <w:tab w:val="center" w:pos="5032" w:leader="none"/>
        </w:tabs>
        <w:spacing w:lineRule="auto" w:line="240" w:before="0" w:after="0"/>
        <w:ind w:left="0" w:hanging="0"/>
        <w:contextualSpacing/>
        <w:jc w:val="both"/>
        <w:rPr>
          <w:rFonts w:ascii="Verdana" w:hAnsi="Verdana"/>
          <w:sz w:val="20"/>
          <w:szCs w:val="20"/>
        </w:rPr>
      </w:pPr>
      <w:r>
        <w:rPr>
          <w:rFonts w:cs="Times New Roman" w:ascii="Verdana" w:hAnsi="Verdana"/>
          <w:b w:val="false"/>
          <w:bCs w:val="false"/>
          <w:sz w:val="20"/>
          <w:szCs w:val="20"/>
        </w:rPr>
        <w:t>3.1. A solução a ser adotada consiste em aquisição de equipamentos para as unidades escolares e Secretaria Municipal de Educação.</w:t>
      </w:r>
    </w:p>
    <w:p>
      <w:pPr>
        <w:pStyle w:val="ListParagraph"/>
        <w:tabs>
          <w:tab w:val="clear" w:pos="708"/>
          <w:tab w:val="left" w:pos="3390" w:leader="none"/>
          <w:tab w:val="center" w:pos="5032" w:leader="none"/>
        </w:tabs>
        <w:spacing w:lineRule="auto" w:line="240" w:before="0" w:after="0"/>
        <w:ind w:left="0" w:hanging="0"/>
        <w:contextualSpacing/>
        <w:jc w:val="both"/>
        <w:rPr>
          <w:rFonts w:ascii="Verdana" w:hAnsi="Verdana"/>
          <w:sz w:val="20"/>
          <w:szCs w:val="20"/>
        </w:rPr>
      </w:pPr>
      <w:r>
        <w:rPr>
          <w:rFonts w:cs="Arial" w:ascii="Verdana" w:hAnsi="Verdana"/>
          <w:b w:val="false"/>
          <w:bCs w:val="false"/>
          <w:sz w:val="20"/>
          <w:szCs w:val="20"/>
          <w:lang w:val="pt-BR"/>
        </w:rPr>
        <w:t>3.2. A aquisição deverá obedecer, no que couber, ao disposto na Lei n.º 14.133/2021 e suas alterações.</w:t>
      </w:r>
    </w:p>
    <w:p>
      <w:pPr>
        <w:pStyle w:val="Normal"/>
        <w:spacing w:lineRule="auto" w:line="240"/>
        <w:jc w:val="both"/>
        <w:rPr>
          <w:rFonts w:ascii="Verdana" w:hAnsi="Verdana"/>
          <w:sz w:val="20"/>
          <w:szCs w:val="20"/>
          <w:u w:val="single"/>
          <w:shd w:fill="FFFF00" w:val="clear"/>
        </w:rPr>
      </w:pPr>
      <w:r>
        <w:rPr>
          <w:rFonts w:ascii="Verdana" w:hAnsi="Verdana"/>
          <w:sz w:val="20"/>
          <w:szCs w:val="20"/>
          <w:u w:val="single"/>
          <w:shd w:fill="FFFF00" w:val="clear"/>
        </w:rPr>
      </w:r>
    </w:p>
    <w:p>
      <w:pPr>
        <w:pStyle w:val="Normal"/>
        <w:spacing w:lineRule="auto" w:line="240"/>
        <w:ind w:left="0" w:right="0" w:hanging="0"/>
        <w:jc w:val="both"/>
        <w:rPr>
          <w:rFonts w:ascii="Verdana" w:hAnsi="Verdana"/>
          <w:sz w:val="20"/>
          <w:szCs w:val="20"/>
        </w:rPr>
      </w:pPr>
      <w:r>
        <w:rPr>
          <w:rFonts w:ascii="Verdana" w:hAnsi="Verdana"/>
          <w:b/>
          <w:bCs/>
          <w:sz w:val="20"/>
          <w:szCs w:val="20"/>
          <w:shd w:fill="auto" w:val="clear"/>
        </w:rPr>
        <w:t>4. REQUISITOS DA CONTRATAÇÃO</w:t>
      </w:r>
    </w:p>
    <w:p>
      <w:pPr>
        <w:pStyle w:val="ListParagraph"/>
        <w:tabs>
          <w:tab w:val="clear" w:pos="708"/>
          <w:tab w:val="left" w:pos="3390" w:leader="none"/>
          <w:tab w:val="center" w:pos="5032" w:leader="none"/>
        </w:tabs>
        <w:spacing w:lineRule="auto" w:line="240" w:before="0" w:after="0"/>
        <w:ind w:left="0" w:hanging="0"/>
        <w:contextualSpacing/>
        <w:jc w:val="both"/>
        <w:rPr>
          <w:rFonts w:ascii="Verdana" w:hAnsi="Verdana"/>
          <w:sz w:val="20"/>
          <w:szCs w:val="20"/>
        </w:rPr>
      </w:pPr>
      <w:r>
        <w:rPr>
          <w:rFonts w:eastAsia="Arial" w:cs="Arial" w:ascii="Verdana" w:hAnsi="Verdana"/>
          <w:b w:val="false"/>
          <w:bCs w:val="false"/>
          <w:sz w:val="20"/>
          <w:szCs w:val="20"/>
          <w:lang w:val="pt-BR"/>
        </w:rPr>
        <w:t>4</w:t>
      </w:r>
      <w:r>
        <w:rPr>
          <w:rFonts w:eastAsia="Arial" w:cs="Arial" w:ascii="Verdana" w:hAnsi="Verdana"/>
          <w:b w:val="false"/>
          <w:bCs w:val="false"/>
          <w:sz w:val="20"/>
          <w:szCs w:val="20"/>
        </w:rPr>
        <w:t>.1</w:t>
      </w:r>
      <w:r>
        <w:rPr>
          <w:rFonts w:eastAsia="Arial" w:cs="Arial" w:ascii="Verdana" w:hAnsi="Verdana"/>
          <w:b/>
          <w:bCs w:val="false"/>
          <w:sz w:val="20"/>
          <w:szCs w:val="20"/>
        </w:rPr>
        <w:t xml:space="preserve">. </w:t>
      </w:r>
      <w:r>
        <w:rPr>
          <w:rFonts w:eastAsia="Calibri" w:cs="Arial" w:ascii="Verdana" w:hAnsi="Verdana"/>
          <w:b w:val="false"/>
          <w:bCs w:val="false"/>
          <w:color w:val="000000"/>
          <w:sz w:val="20"/>
          <w:szCs w:val="20"/>
          <w:shd w:fill="FFFFFF" w:val="clear"/>
          <w:lang w:eastAsia="zh-CN"/>
        </w:rPr>
        <w:t xml:space="preserve"> A contratação deverá observar os seguintes requisitos:</w:t>
      </w:r>
    </w:p>
    <w:p>
      <w:pPr>
        <w:pStyle w:val="Normal"/>
        <w:tabs>
          <w:tab w:val="clear" w:pos="708"/>
          <w:tab w:val="left" w:pos="206" w:leader="none"/>
          <w:tab w:val="left" w:pos="563" w:leader="none"/>
        </w:tabs>
        <w:suppressAutoHyphens w:val="false"/>
        <w:spacing w:lineRule="auto" w:line="240"/>
        <w:ind w:left="0" w:right="0" w:hanging="0"/>
        <w:jc w:val="both"/>
        <w:rPr>
          <w:rFonts w:ascii="Verdana" w:hAnsi="Verdana"/>
          <w:sz w:val="20"/>
          <w:szCs w:val="20"/>
        </w:rPr>
      </w:pPr>
      <w:r>
        <w:rPr>
          <w:rFonts w:ascii="Verdana" w:hAnsi="Verdana"/>
          <w:b w:val="false"/>
          <w:bCs w:val="false"/>
          <w:i/>
          <w:iCs/>
          <w:sz w:val="20"/>
          <w:szCs w:val="20"/>
        </w:rPr>
        <w:t>4.2.</w:t>
      </w:r>
      <w:r>
        <w:rPr>
          <w:rFonts w:ascii="Verdana" w:hAnsi="Verdana"/>
          <w:b w:val="false"/>
          <w:bCs w:val="false"/>
          <w:sz w:val="20"/>
          <w:szCs w:val="20"/>
        </w:rPr>
        <w:t xml:space="preserve"> Não haverá danos ao meio ambiente, uma vez que a aquisição não gerará tal problema para a Administração Pública.</w:t>
      </w:r>
    </w:p>
    <w:p>
      <w:pPr>
        <w:pStyle w:val="ListParagraph"/>
        <w:tabs>
          <w:tab w:val="clear" w:pos="708"/>
          <w:tab w:val="left" w:pos="450" w:leader="none"/>
        </w:tabs>
        <w:suppressAutoHyphens w:val="false"/>
        <w:spacing w:lineRule="auto" w:line="240"/>
        <w:ind w:left="0" w:right="0" w:hanging="0"/>
        <w:jc w:val="both"/>
        <w:rPr>
          <w:rFonts w:ascii="Verdana" w:hAnsi="Verdana"/>
          <w:sz w:val="20"/>
          <w:szCs w:val="20"/>
        </w:rPr>
      </w:pPr>
      <w:r>
        <w:rPr>
          <w:rFonts w:ascii="Verdana" w:hAnsi="Verdana"/>
          <w:b w:val="false"/>
          <w:bCs w:val="false"/>
          <w:i w:val="false"/>
          <w:iCs w:val="false"/>
          <w:sz w:val="20"/>
          <w:szCs w:val="20"/>
        </w:rPr>
        <w:t>4.3.</w:t>
      </w:r>
      <w:r>
        <w:rPr>
          <w:rFonts w:ascii="Verdana" w:hAnsi="Verdana"/>
          <w:b w:val="false"/>
          <w:bCs w:val="false"/>
          <w:i/>
          <w:iCs/>
          <w:sz w:val="20"/>
          <w:szCs w:val="20"/>
        </w:rPr>
        <w:t xml:space="preserve"> </w:t>
      </w:r>
      <w:r>
        <w:rPr>
          <w:rFonts w:ascii="Verdana" w:hAnsi="Verdana"/>
          <w:b w:val="false"/>
          <w:bCs w:val="false"/>
          <w:i/>
          <w:iCs/>
          <w:sz w:val="20"/>
          <w:szCs w:val="20"/>
          <w:u w:val="none"/>
        </w:rPr>
        <w:t xml:space="preserve"> </w:t>
      </w:r>
      <w:r>
        <w:rPr>
          <w:rFonts w:ascii="Verdana" w:hAnsi="Verdana"/>
          <w:b w:val="false"/>
          <w:bCs w:val="false"/>
          <w:i w:val="false"/>
          <w:iCs w:val="false"/>
          <w:sz w:val="20"/>
          <w:szCs w:val="20"/>
          <w:u w:val="none"/>
        </w:rPr>
        <w:t xml:space="preserve">A aquisição se dará por </w:t>
      </w:r>
      <w:r>
        <w:rPr>
          <w:rFonts w:eastAsia="Times New Roman" w:cs="Times New Roman" w:ascii="Verdana" w:hAnsi="Verdana"/>
          <w:b w:val="false"/>
          <w:bCs w:val="false"/>
          <w:i w:val="false"/>
          <w:iCs w:val="false"/>
          <w:color w:val="auto"/>
          <w:kern w:val="0"/>
          <w:sz w:val="20"/>
          <w:szCs w:val="20"/>
          <w:u w:val="none"/>
          <w:lang w:val="pt-BR" w:eastAsia="pt-BR" w:bidi="ar-SA"/>
        </w:rPr>
        <w:t>registro de preços</w:t>
      </w:r>
      <w:r>
        <w:rPr>
          <w:rFonts w:ascii="Verdana" w:hAnsi="Verdana"/>
          <w:b w:val="false"/>
          <w:bCs w:val="false"/>
          <w:i w:val="false"/>
          <w:iCs w:val="false"/>
          <w:sz w:val="20"/>
          <w:szCs w:val="20"/>
          <w:u w:val="none"/>
        </w:rPr>
        <w:t xml:space="preserve"> (sendo sagrado vencedor, o fornecedor que apresentar o menor valor </w:t>
      </w:r>
      <w:r>
        <w:rPr>
          <w:rFonts w:eastAsia="Times New Roman" w:cs="Times New Roman" w:ascii="Verdana" w:hAnsi="Verdana"/>
          <w:b w:val="false"/>
          <w:bCs w:val="false"/>
          <w:i w:val="false"/>
          <w:iCs w:val="false"/>
          <w:sz w:val="20"/>
          <w:szCs w:val="20"/>
          <w:u w:val="none"/>
        </w:rPr>
        <w:t xml:space="preserve">por item </w:t>
      </w:r>
      <w:r>
        <w:rPr>
          <w:rFonts w:ascii="Verdana" w:hAnsi="Verdana"/>
          <w:b w:val="false"/>
          <w:bCs w:val="false"/>
          <w:i w:val="false"/>
          <w:iCs w:val="false"/>
          <w:sz w:val="20"/>
          <w:szCs w:val="20"/>
          <w:u w:val="none"/>
        </w:rPr>
        <w:t>a ser adquirido), com entrega</w:t>
      </w:r>
      <w:r>
        <w:rPr>
          <w:rFonts w:eastAsia="Times New Roman" w:cs="Times New Roman" w:ascii="Verdana" w:hAnsi="Verdana"/>
          <w:b w:val="false"/>
          <w:bCs w:val="false"/>
          <w:i w:val="false"/>
          <w:iCs w:val="false"/>
          <w:sz w:val="20"/>
          <w:szCs w:val="20"/>
          <w:u w:val="none"/>
        </w:rPr>
        <w:t xml:space="preserve">, </w:t>
      </w:r>
      <w:r>
        <w:rPr>
          <w:rFonts w:eastAsia="Times New Roman" w:cs="Times New Roman" w:ascii="Verdana" w:hAnsi="Verdana"/>
          <w:b w:val="false"/>
          <w:bCs w:val="false"/>
          <w:i w:val="false"/>
          <w:iCs w:val="false"/>
          <w:color w:val="000000"/>
          <w:sz w:val="20"/>
          <w:szCs w:val="20"/>
          <w:u w:val="none"/>
        </w:rPr>
        <w:t>em até 20 (</w:t>
      </w:r>
      <w:r>
        <w:rPr>
          <w:rFonts w:eastAsia="Times New Roman" w:cs="Times New Roman" w:ascii="Verdana" w:hAnsi="Verdana"/>
          <w:b w:val="false"/>
          <w:bCs w:val="false"/>
          <w:i w:val="false"/>
          <w:iCs w:val="false"/>
          <w:color w:val="000000"/>
          <w:kern w:val="0"/>
          <w:sz w:val="20"/>
          <w:szCs w:val="20"/>
          <w:u w:val="none"/>
          <w:lang w:val="pt-BR" w:eastAsia="pt-BR" w:bidi="ar-SA"/>
        </w:rPr>
        <w:t>vinte</w:t>
      </w:r>
      <w:r>
        <w:rPr>
          <w:rFonts w:eastAsia="Times New Roman" w:cs="Times New Roman" w:ascii="Verdana" w:hAnsi="Verdana"/>
          <w:b w:val="false"/>
          <w:bCs w:val="false"/>
          <w:i w:val="false"/>
          <w:iCs w:val="false"/>
          <w:color w:val="000000"/>
          <w:sz w:val="20"/>
          <w:szCs w:val="20"/>
          <w:u w:val="none"/>
        </w:rPr>
        <w:t>) dias</w:t>
      </w:r>
      <w:r>
        <w:rPr>
          <w:rFonts w:eastAsia="Times New Roman" w:cs="Times New Roman" w:ascii="Verdana" w:hAnsi="Verdana"/>
          <w:b w:val="false"/>
          <w:bCs w:val="false"/>
          <w:i w:val="false"/>
          <w:iCs w:val="false"/>
          <w:sz w:val="20"/>
          <w:szCs w:val="20"/>
          <w:u w:val="none"/>
        </w:rPr>
        <w:t xml:space="preserve"> após a emissão da autorização de fornecimento emitida pelo Departamento de Compras e Contratos e a confirmação de recebimento pela empresa.</w:t>
      </w:r>
    </w:p>
    <w:p>
      <w:pPr>
        <w:pStyle w:val="Normal"/>
        <w:shd w:val="clear" w:fill="FFFFFF"/>
        <w:suppressAutoHyphens w:val="false"/>
        <w:spacing w:lineRule="auto" w:line="240"/>
        <w:ind w:left="0" w:right="0" w:hanging="57"/>
        <w:jc w:val="both"/>
        <w:rPr>
          <w:rFonts w:ascii="Verdana" w:hAnsi="Verdana"/>
          <w:sz w:val="20"/>
          <w:szCs w:val="20"/>
        </w:rPr>
      </w:pPr>
      <w:r>
        <w:rPr>
          <w:rFonts w:eastAsia="Calibri" w:ascii="Verdana" w:hAnsi="Verdana"/>
          <w:b w:val="false"/>
          <w:bCs w:val="false"/>
          <w:sz w:val="20"/>
          <w:szCs w:val="20"/>
          <w:shd w:fill="FFFFFF" w:val="clear"/>
        </w:rPr>
        <w:t xml:space="preserve">4.4. A empresa fornecedora deverá entregar </w:t>
      </w:r>
      <w:r>
        <w:rPr>
          <w:rFonts w:eastAsia="Calibri" w:cs="Times New Roman" w:ascii="Verdana" w:hAnsi="Verdana"/>
          <w:b w:val="false"/>
          <w:bCs w:val="false"/>
          <w:sz w:val="20"/>
          <w:szCs w:val="20"/>
          <w:shd w:fill="FFFFFF" w:val="clear"/>
        </w:rPr>
        <w:t>o objeto</w:t>
      </w:r>
      <w:r>
        <w:rPr>
          <w:rFonts w:eastAsia="Calibri" w:ascii="Verdana" w:hAnsi="Verdana"/>
          <w:b w:val="false"/>
          <w:bCs w:val="false"/>
          <w:sz w:val="20"/>
          <w:szCs w:val="20"/>
          <w:shd w:fill="FFFFFF" w:val="clear"/>
        </w:rPr>
        <w:t xml:space="preserve"> de qualidade de acordo com a especificação apresentada </w:t>
      </w:r>
      <w:r>
        <w:rPr>
          <w:rFonts w:ascii="Verdana" w:hAnsi="Verdana"/>
          <w:b w:val="false"/>
          <w:bCs w:val="false"/>
          <w:sz w:val="20"/>
          <w:szCs w:val="20"/>
        </w:rPr>
        <w:t>na autorização</w:t>
      </w:r>
      <w:r>
        <w:rPr>
          <w:rFonts w:ascii="Verdana" w:hAnsi="Verdana"/>
          <w:sz w:val="20"/>
          <w:szCs w:val="20"/>
        </w:rPr>
        <w:t xml:space="preserve"> de fornecimento/execução, sem marcas e sem defeitos e </w:t>
      </w:r>
      <w:r>
        <w:rPr>
          <w:rFonts w:eastAsia="Calibri" w:ascii="Verdana" w:hAnsi="Verdana"/>
          <w:sz w:val="20"/>
          <w:szCs w:val="20"/>
          <w:shd w:fill="FFFFFF" w:val="clear"/>
        </w:rPr>
        <w:t xml:space="preserve">em perfeitas condições </w:t>
      </w:r>
      <w:r>
        <w:rPr>
          <w:rFonts w:eastAsia="Calibri" w:cs="Times New Roman" w:ascii="Verdana" w:hAnsi="Verdana"/>
          <w:sz w:val="20"/>
          <w:szCs w:val="20"/>
          <w:shd w:fill="FFFFFF" w:val="clear"/>
        </w:rPr>
        <w:t>de uso de acordo com as normas técnicas e de segurança vigentes.</w:t>
      </w:r>
    </w:p>
    <w:p>
      <w:pPr>
        <w:pStyle w:val="ListParagraph"/>
        <w:shd w:val="clear" w:fill="FFFFFF"/>
        <w:suppressAutoHyphens w:val="false"/>
        <w:spacing w:lineRule="auto" w:line="240"/>
        <w:ind w:left="57" w:right="0" w:hanging="57"/>
        <w:jc w:val="both"/>
        <w:rPr>
          <w:rFonts w:ascii="Verdana" w:hAnsi="Verdana"/>
          <w:sz w:val="20"/>
          <w:szCs w:val="20"/>
        </w:rPr>
      </w:pPr>
      <w:r>
        <w:rPr>
          <w:rFonts w:eastAsia="Calibri" w:ascii="Verdana" w:hAnsi="Verdana"/>
          <w:b w:val="false"/>
          <w:bCs w:val="false"/>
          <w:sz w:val="20"/>
          <w:szCs w:val="20"/>
          <w:shd w:fill="FFFFFF" w:val="clear"/>
        </w:rPr>
        <w:t>4.5</w:t>
      </w:r>
      <w:r>
        <w:rPr>
          <w:rFonts w:eastAsia="Calibri" w:ascii="Verdana" w:hAnsi="Verdana"/>
          <w:b/>
          <w:bCs/>
          <w:sz w:val="20"/>
          <w:szCs w:val="20"/>
          <w:shd w:fill="FFFFFF" w:val="clear"/>
        </w:rPr>
        <w:t xml:space="preserve">. </w:t>
      </w:r>
      <w:r>
        <w:rPr>
          <w:rFonts w:eastAsia="Calibri" w:ascii="Verdana" w:hAnsi="Verdana"/>
          <w:sz w:val="20"/>
          <w:szCs w:val="20"/>
          <w:shd w:fill="FFFFFF" w:val="clear"/>
        </w:rPr>
        <w:t>A contratação deverá obedecer, no que couber, ao disposto na Lei nº 14.133/2021 e suas alterações.</w:t>
      </w:r>
    </w:p>
    <w:p>
      <w:pPr>
        <w:pStyle w:val="ListParagraph"/>
        <w:tabs>
          <w:tab w:val="clear" w:pos="708"/>
          <w:tab w:val="left" w:pos="567" w:leader="none"/>
        </w:tabs>
        <w:spacing w:lineRule="auto" w:line="240"/>
        <w:ind w:left="-22" w:right="0" w:hanging="0"/>
        <w:jc w:val="both"/>
        <w:rPr>
          <w:rFonts w:ascii="Verdana" w:hAnsi="Verdana"/>
          <w:sz w:val="20"/>
          <w:szCs w:val="20"/>
        </w:rPr>
      </w:pPr>
      <w:r>
        <w:rPr>
          <w:rFonts w:ascii="Verdana" w:hAnsi="Verdana"/>
          <w:b w:val="false"/>
          <w:bCs w:val="false"/>
          <w:sz w:val="20"/>
          <w:szCs w:val="20"/>
        </w:rPr>
        <w:t>4.6.</w:t>
      </w:r>
      <w:r>
        <w:rPr>
          <w:rFonts w:ascii="Verdana" w:hAnsi="Verdana"/>
          <w:sz w:val="20"/>
          <w:szCs w:val="20"/>
        </w:rPr>
        <w:t xml:space="preserve"> A empresa </w:t>
      </w:r>
      <w:r>
        <w:rPr>
          <w:rFonts w:eastAsia="Times New Roman" w:cs="Times New Roman" w:ascii="Verdana" w:hAnsi="Verdana"/>
          <w:sz w:val="20"/>
          <w:szCs w:val="20"/>
        </w:rPr>
        <w:t>ganhadora</w:t>
      </w:r>
      <w:r>
        <w:rPr>
          <w:rFonts w:ascii="Verdana" w:hAnsi="Verdana"/>
          <w:sz w:val="20"/>
          <w:szCs w:val="20"/>
        </w:rPr>
        <w:t xml:space="preserve"> deverá entregar </w:t>
      </w:r>
      <w:r>
        <w:rPr>
          <w:rFonts w:eastAsia="Times New Roman" w:cs="Times New Roman" w:ascii="Verdana" w:hAnsi="Verdana"/>
          <w:sz w:val="20"/>
          <w:szCs w:val="20"/>
        </w:rPr>
        <w:t>os itens</w:t>
      </w:r>
      <w:r>
        <w:rPr>
          <w:rFonts w:ascii="Verdana" w:hAnsi="Verdana"/>
          <w:sz w:val="20"/>
          <w:szCs w:val="20"/>
        </w:rPr>
        <w:t xml:space="preserve"> na data estipulada na autorização de fornecimento/execução emitida pelo Departamento de Compras e </w:t>
      </w:r>
      <w:r>
        <w:rPr>
          <w:rFonts w:ascii="Verdana" w:hAnsi="Verdana"/>
          <w:b w:val="false"/>
          <w:bCs w:val="false"/>
          <w:sz w:val="20"/>
          <w:szCs w:val="20"/>
        </w:rPr>
        <w:t>Contratos.</w:t>
      </w:r>
    </w:p>
    <w:p>
      <w:pPr>
        <w:pStyle w:val="ListParagraph"/>
        <w:spacing w:lineRule="auto" w:line="240"/>
        <w:ind w:left="-22" w:right="0" w:hanging="0"/>
        <w:jc w:val="both"/>
        <w:rPr>
          <w:rFonts w:ascii="Verdana" w:hAnsi="Verdana"/>
          <w:sz w:val="20"/>
          <w:szCs w:val="20"/>
        </w:rPr>
      </w:pPr>
      <w:r>
        <w:rPr>
          <w:rFonts w:ascii="Verdana" w:hAnsi="Verdana"/>
          <w:b w:val="false"/>
          <w:bCs w:val="false"/>
          <w:sz w:val="20"/>
          <w:szCs w:val="20"/>
        </w:rPr>
        <w:t xml:space="preserve">4.7. </w:t>
      </w:r>
      <w:r>
        <w:rPr>
          <w:rFonts w:ascii="Verdana" w:hAnsi="Verdana"/>
          <w:sz w:val="20"/>
          <w:szCs w:val="20"/>
        </w:rPr>
        <w:t>Não será admitida a subcontratação do objeto contratual.</w:t>
      </w:r>
    </w:p>
    <w:p>
      <w:pPr>
        <w:pStyle w:val="Normal"/>
        <w:tabs>
          <w:tab w:val="clear" w:pos="708"/>
          <w:tab w:val="left" w:pos="133" w:leader="none"/>
        </w:tabs>
        <w:spacing w:lineRule="auto" w:line="240"/>
        <w:ind w:left="0" w:right="0" w:hanging="0"/>
        <w:jc w:val="both"/>
        <w:rPr>
          <w:rFonts w:ascii="Verdana" w:hAnsi="Verdana"/>
          <w:sz w:val="20"/>
          <w:szCs w:val="20"/>
        </w:rPr>
      </w:pPr>
      <w:r>
        <w:rPr>
          <w:rFonts w:ascii="Verdana" w:hAnsi="Verdana"/>
          <w:b w:val="false"/>
          <w:bCs w:val="false"/>
          <w:sz w:val="20"/>
          <w:szCs w:val="20"/>
        </w:rPr>
        <w:t xml:space="preserve">4.8. </w:t>
      </w:r>
      <w:r>
        <w:rPr>
          <w:rFonts w:ascii="Verdana" w:hAnsi="Verdana"/>
          <w:sz w:val="20"/>
          <w:szCs w:val="20"/>
        </w:rPr>
        <w:t>Não haverá exigência da garantia da contratação dos arts. 96 e seguintes da Lei nº 14.133/21.</w:t>
      </w:r>
    </w:p>
    <w:p>
      <w:pPr>
        <w:pStyle w:val="Normal"/>
        <w:tabs>
          <w:tab w:val="clear" w:pos="708"/>
          <w:tab w:val="left" w:pos="133" w:leader="none"/>
        </w:tabs>
        <w:spacing w:lineRule="auto" w:line="240"/>
        <w:ind w:left="0" w:right="0" w:hanging="0"/>
        <w:jc w:val="both"/>
        <w:rPr>
          <w:rFonts w:ascii="Verdana" w:hAnsi="Verdana"/>
          <w:sz w:val="20"/>
          <w:szCs w:val="20"/>
        </w:rPr>
      </w:pPr>
      <w:r>
        <w:rPr>
          <w:rFonts w:ascii="Verdana" w:hAnsi="Verdana"/>
          <w:sz w:val="20"/>
          <w:szCs w:val="20"/>
        </w:rPr>
        <w:t>4.9. Não haverá reajustamento de preços dos produtos adquiridos.</w:t>
      </w:r>
    </w:p>
    <w:p>
      <w:pPr>
        <w:pStyle w:val="Normal"/>
        <w:spacing w:lineRule="auto" w:line="240"/>
        <w:ind w:left="0" w:right="0" w:hanging="0"/>
        <w:jc w:val="both"/>
        <w:rPr>
          <w:rFonts w:ascii="Verdana" w:hAnsi="Verdana"/>
          <w:sz w:val="20"/>
          <w:szCs w:val="20"/>
        </w:rPr>
      </w:pPr>
      <w:r>
        <w:rPr>
          <w:rFonts w:ascii="Verdana" w:hAnsi="Verdana"/>
          <w:b w:val="false"/>
          <w:bCs w:val="false"/>
          <w:sz w:val="20"/>
          <w:szCs w:val="20"/>
        </w:rPr>
        <w:t xml:space="preserve">4.10. </w:t>
      </w:r>
      <w:r>
        <w:rPr>
          <w:rFonts w:cs="Arial" w:ascii="Verdana" w:hAnsi="Verdana"/>
          <w:sz w:val="20"/>
          <w:szCs w:val="20"/>
        </w:rPr>
        <w:t xml:space="preserve">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pacing w:lineRule="auto" w:line="24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4.11. </w:t>
      </w:r>
      <w:r>
        <w:rPr>
          <w:rFonts w:cs="Arial" w:ascii="Verdana" w:hAnsi="Verdana"/>
          <w:sz w:val="20"/>
          <w:szCs w:val="20"/>
        </w:rPr>
        <w:t>Os insumos necessários às embalagens</w:t>
      </w:r>
      <w:r>
        <w:rPr>
          <w:rFonts w:cs="Arial" w:ascii="Verdana" w:hAnsi="Verdana"/>
          <w:sz w:val="20"/>
          <w:szCs w:val="20"/>
          <w:lang w:val="pt-BR"/>
        </w:rPr>
        <w:t>, carga e descarga e instalação</w:t>
      </w:r>
      <w:r>
        <w:rPr>
          <w:rFonts w:cs="Arial" w:ascii="Verdana" w:hAnsi="Verdana"/>
          <w:sz w:val="20"/>
          <w:szCs w:val="20"/>
        </w:rPr>
        <w:t xml:space="preserve"> serão responsabilidades</w:t>
      </w:r>
      <w:r>
        <w:rPr>
          <w:rFonts w:cs="Arial" w:ascii="Verdana" w:hAnsi="Verdana"/>
          <w:sz w:val="20"/>
          <w:szCs w:val="20"/>
          <w:lang w:val="pt-BR"/>
        </w:rPr>
        <w:t xml:space="preserve"> da contratada</w:t>
      </w:r>
      <w:r>
        <w:rPr>
          <w:rFonts w:cs="Arial" w:ascii="Verdana" w:hAnsi="Verdana"/>
          <w:sz w:val="20"/>
          <w:szCs w:val="20"/>
        </w:rPr>
        <w:t>.</w:t>
      </w:r>
    </w:p>
    <w:p>
      <w:pPr>
        <w:pStyle w:val="ListParagraph"/>
        <w:tabs>
          <w:tab w:val="clear" w:pos="708"/>
          <w:tab w:val="left" w:pos="3390" w:leader="none"/>
          <w:tab w:val="center" w:pos="5032" w:leader="none"/>
        </w:tabs>
        <w:spacing w:lineRule="auto" w:line="240" w:before="0" w:after="0"/>
        <w:ind w:left="0" w:hanging="0"/>
        <w:contextualSpacing/>
        <w:jc w:val="both"/>
        <w:rPr>
          <w:rFonts w:ascii="Verdana" w:hAnsi="Verdana" w:cs="Arial"/>
          <w:sz w:val="20"/>
          <w:szCs w:val="20"/>
          <w:shd w:fill="auto" w:val="clear"/>
        </w:rPr>
      </w:pPr>
      <w:r>
        <w:rPr>
          <w:rFonts w:cs="Arial" w:ascii="Verdana" w:hAnsi="Verdana"/>
          <w:sz w:val="20"/>
          <w:szCs w:val="20"/>
          <w:shd w:fill="auto" w:val="clear"/>
        </w:rPr>
      </w:r>
    </w:p>
    <w:p>
      <w:pPr>
        <w:pStyle w:val="Normal"/>
        <w:spacing w:lineRule="auto" w:line="240"/>
        <w:ind w:left="0" w:right="0" w:hanging="0"/>
        <w:jc w:val="both"/>
        <w:rPr>
          <w:rFonts w:ascii="Verdana" w:hAnsi="Verdana"/>
          <w:sz w:val="20"/>
          <w:szCs w:val="20"/>
        </w:rPr>
      </w:pPr>
      <w:r>
        <w:rPr>
          <w:rFonts w:ascii="Verdana" w:hAnsi="Verdana"/>
          <w:b/>
          <w:bCs/>
          <w:sz w:val="20"/>
          <w:szCs w:val="20"/>
          <w:shd w:fill="auto" w:val="clear"/>
        </w:rPr>
        <w:t xml:space="preserve">5. MODELO DE EXECUÇÃO CONTRATUAL </w:t>
      </w:r>
    </w:p>
    <w:p>
      <w:pPr>
        <w:pStyle w:val="ListParagraph"/>
        <w:widowControl/>
        <w:tabs>
          <w:tab w:val="clear" w:pos="708"/>
          <w:tab w:val="left" w:pos="0" w:leader="none"/>
          <w:tab w:val="left" w:pos="450" w:leader="none"/>
        </w:tabs>
        <w:suppressAutoHyphens w:val="true"/>
        <w:bidi w:val="0"/>
        <w:spacing w:lineRule="auto" w:line="240" w:before="0" w:after="0"/>
        <w:ind w:left="-57" w:right="0" w:firstLine="57"/>
        <w:contextualSpacing w:val="false"/>
        <w:jc w:val="both"/>
        <w:rPr>
          <w:rFonts w:ascii="Verdana" w:hAnsi="Verdana"/>
          <w:sz w:val="20"/>
          <w:szCs w:val="20"/>
        </w:rPr>
      </w:pPr>
      <w:r>
        <w:rPr>
          <w:rFonts w:cs="Times New Roman" w:ascii="Verdana" w:hAnsi="Verdana"/>
          <w:b w:val="false"/>
          <w:bCs w:val="false"/>
          <w:iCs/>
          <w:sz w:val="20"/>
          <w:szCs w:val="20"/>
          <w:shd w:fill="auto" w:val="clear"/>
          <w:lang w:val="pt-BR"/>
        </w:rPr>
        <w:t>5</w:t>
      </w:r>
      <w:r>
        <w:rPr>
          <w:rFonts w:cs="Arial" w:ascii="Verdana" w:hAnsi="Verdana"/>
          <w:b w:val="false"/>
          <w:bCs w:val="false"/>
          <w:iCs/>
          <w:sz w:val="20"/>
          <w:szCs w:val="20"/>
        </w:rPr>
        <w:t>.1.</w:t>
      </w:r>
      <w:r>
        <w:rPr>
          <w:rFonts w:cs="Arial" w:ascii="Verdana" w:hAnsi="Verdana"/>
          <w:bCs/>
          <w:iCs/>
          <w:sz w:val="20"/>
          <w:szCs w:val="20"/>
        </w:rPr>
        <w:t xml:space="preserve"> A entrega deverá ser realizada na Secretaria de Educação, situada a Praça Vicente Glazar, Bairro Glória, nº 159, São Gabriel da Palha – ES, cep 29780-000 ou em endereço ind</w:t>
      </w:r>
      <w:r>
        <w:rPr>
          <w:rFonts w:cs="Arial" w:ascii="Verdana" w:hAnsi="Verdana"/>
          <w:b w:val="false"/>
          <w:bCs w:val="false"/>
          <w:iCs/>
          <w:sz w:val="20"/>
          <w:szCs w:val="20"/>
        </w:rPr>
        <w:t>icado na Ordem de Fornecimento, no prazo máximo de 30 dias corridos após a emissão de Autorização de Fornecimento.</w:t>
      </w:r>
    </w:p>
    <w:p>
      <w:pPr>
        <w:pStyle w:val="ListParagraph"/>
        <w:widowControl/>
        <w:tabs>
          <w:tab w:val="clear" w:pos="708"/>
          <w:tab w:val="left" w:pos="0" w:leader="none"/>
          <w:tab w:val="left" w:pos="450" w:leader="none"/>
        </w:tabs>
        <w:suppressAutoHyphens w:val="true"/>
        <w:bidi w:val="0"/>
        <w:spacing w:lineRule="auto" w:line="240" w:before="0" w:after="0"/>
        <w:ind w:left="-57" w:right="0" w:firstLine="57"/>
        <w:contextualSpacing w:val="false"/>
        <w:jc w:val="both"/>
        <w:rPr>
          <w:rFonts w:ascii="Verdana" w:hAnsi="Verdana"/>
          <w:sz w:val="20"/>
          <w:szCs w:val="20"/>
        </w:rPr>
      </w:pPr>
      <w:r>
        <w:rPr>
          <w:rFonts w:cs="Arial" w:ascii="Verdana" w:hAnsi="Verdana"/>
          <w:b w:val="false"/>
          <w:bCs w:val="false"/>
          <w:iCs/>
          <w:sz w:val="20"/>
          <w:szCs w:val="20"/>
          <w:lang w:val="pt-BR"/>
        </w:rPr>
        <w:t>5.1.2. Contato:</w:t>
      </w:r>
    </w:p>
    <w:p>
      <w:pPr>
        <w:pStyle w:val="ListParagraph"/>
        <w:widowControl/>
        <w:tabs>
          <w:tab w:val="clear" w:pos="708"/>
          <w:tab w:val="left" w:pos="0" w:leader="none"/>
          <w:tab w:val="left" w:pos="450" w:leader="none"/>
        </w:tabs>
        <w:suppressAutoHyphens w:val="true"/>
        <w:bidi w:val="0"/>
        <w:spacing w:lineRule="auto" w:line="240" w:before="0" w:after="0"/>
        <w:ind w:left="-57" w:right="0" w:firstLine="57"/>
        <w:contextualSpacing w:val="false"/>
        <w:jc w:val="both"/>
        <w:rPr>
          <w:rFonts w:ascii="Verdana" w:hAnsi="Verdana"/>
          <w:sz w:val="20"/>
          <w:szCs w:val="20"/>
        </w:rPr>
      </w:pPr>
      <w:r>
        <w:rPr>
          <w:rFonts w:cs="Arial" w:ascii="Verdana" w:hAnsi="Verdana"/>
          <w:bCs/>
          <w:iCs/>
          <w:sz w:val="20"/>
          <w:szCs w:val="20"/>
          <w:lang w:val="pt-BR"/>
        </w:rPr>
        <w:t>Telefone: (27) 3727 – 3993</w:t>
      </w:r>
    </w:p>
    <w:p>
      <w:pPr>
        <w:pStyle w:val="ListParagraph"/>
        <w:widowControl/>
        <w:tabs>
          <w:tab w:val="clear" w:pos="708"/>
          <w:tab w:val="left" w:pos="0" w:leader="none"/>
          <w:tab w:val="left" w:pos="450" w:leader="none"/>
        </w:tabs>
        <w:suppressAutoHyphens w:val="true"/>
        <w:bidi w:val="0"/>
        <w:spacing w:lineRule="auto" w:line="240" w:before="0" w:after="0"/>
        <w:ind w:left="-57" w:right="0" w:firstLine="57"/>
        <w:contextualSpacing w:val="false"/>
        <w:jc w:val="both"/>
        <w:rPr/>
      </w:pPr>
      <w:r>
        <w:rPr>
          <w:rFonts w:cs="Arial" w:ascii="Verdana" w:hAnsi="Verdana"/>
          <w:bCs/>
          <w:iCs/>
          <w:sz w:val="20"/>
          <w:szCs w:val="20"/>
          <w:lang w:val="pt-BR"/>
        </w:rPr>
        <w:t xml:space="preserve">E-mail: </w:t>
      </w:r>
      <w:hyperlink r:id="rId2">
        <w:r>
          <w:rPr>
            <w:rStyle w:val="LinkdaInternet"/>
            <w:rFonts w:cs="Arial" w:ascii="Verdana" w:hAnsi="Verdana"/>
            <w:bCs/>
            <w:iCs/>
            <w:sz w:val="20"/>
            <w:szCs w:val="20"/>
            <w:lang w:val="pt-BR"/>
          </w:rPr>
          <w:t>f</w:t>
        </w:r>
        <w:r>
          <w:rPr>
            <w:rStyle w:val="LinkdaInternet"/>
            <w:rFonts w:cs="Arial" w:ascii="Verdana" w:hAnsi="Verdana"/>
            <w:bCs/>
            <w:iCs/>
            <w:color w:val="000000"/>
            <w:sz w:val="20"/>
            <w:szCs w:val="20"/>
            <w:u w:val="none"/>
            <w:lang w:val="pt-BR"/>
          </w:rPr>
          <w:t>inanceirosemecsgp@gmail.com</w:t>
        </w:r>
      </w:hyperlink>
    </w:p>
    <w:p>
      <w:pPr>
        <w:pStyle w:val="ListParagraph"/>
        <w:widowControl/>
        <w:tabs>
          <w:tab w:val="clear" w:pos="708"/>
          <w:tab w:val="left" w:pos="0" w:leader="none"/>
          <w:tab w:val="left" w:pos="450" w:leader="none"/>
        </w:tabs>
        <w:suppressAutoHyphens w:val="true"/>
        <w:bidi w:val="0"/>
        <w:spacing w:lineRule="auto" w:line="240" w:before="0" w:after="0"/>
        <w:ind w:left="-57" w:right="0" w:firstLine="57"/>
        <w:contextualSpacing w:val="false"/>
        <w:jc w:val="both"/>
        <w:rPr>
          <w:rFonts w:ascii="Verdana" w:hAnsi="Verdana"/>
          <w:sz w:val="20"/>
          <w:szCs w:val="20"/>
        </w:rPr>
      </w:pPr>
      <w:r>
        <w:rPr>
          <w:rFonts w:cs="Arial" w:ascii="Verdana" w:hAnsi="Verdana"/>
          <w:bCs/>
          <w:iCs/>
          <w:sz w:val="20"/>
          <w:szCs w:val="20"/>
          <w:lang w:val="pt-BR"/>
        </w:rPr>
        <w:t>Responsável: Secretaria Municipal de Educação</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.2.</w:t>
      </w:r>
      <w:r>
        <w:rPr>
          <w:rFonts w:cs="Arial" w:ascii="Verdana" w:hAnsi="Verdana"/>
          <w:sz w:val="20"/>
          <w:szCs w:val="20"/>
        </w:rPr>
        <w:t xml:space="preserve"> A entrega deverá ocorrer sem qualquer ônus adicional, bem como a descarga e todas as demais despesas provenientes da mesma, previamente agendada com a </w:t>
      </w:r>
      <w:r>
        <w:rPr>
          <w:rFonts w:cs="Arial" w:ascii="Verdana" w:hAnsi="Verdana"/>
          <w:sz w:val="20"/>
          <w:szCs w:val="20"/>
          <w:lang w:val="pt-BR"/>
        </w:rPr>
        <w:t>Escola</w:t>
      </w:r>
      <w:r>
        <w:rPr>
          <w:rFonts w:cs="Arial" w:ascii="Verdana" w:hAnsi="Verdana"/>
          <w:sz w:val="20"/>
          <w:szCs w:val="20"/>
        </w:rPr>
        <w:t>;</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.3.</w:t>
      </w:r>
      <w:r>
        <w:rPr>
          <w:rFonts w:cs="Arial" w:ascii="Verdana" w:hAnsi="Verdana"/>
          <w:sz w:val="20"/>
          <w:szCs w:val="20"/>
        </w:rPr>
        <w:t xml:space="preserve"> A Empresa vencedora garantirá a qualidade dos materiais obrigando-se a repor aquele que apresentar defeito ou for entregue em desacordo com o apresentado na proposta; </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w:t>
      </w:r>
      <w:r>
        <w:rPr>
          <w:rFonts w:cs="Arial" w:ascii="Verdana" w:hAnsi="Verdana"/>
          <w:b w:val="false"/>
          <w:bCs w:val="false"/>
          <w:sz w:val="20"/>
          <w:szCs w:val="20"/>
          <w:lang w:val="pt-BR"/>
        </w:rPr>
        <w:t>4</w:t>
      </w:r>
      <w:r>
        <w:rPr>
          <w:rFonts w:cs="Arial" w:ascii="Verdana" w:hAnsi="Verdana"/>
          <w:sz w:val="20"/>
          <w:szCs w:val="20"/>
        </w:rPr>
        <w:t xml:space="preserve"> O recebimento ocorrerá com a verificação integral das características do produto fornecido pela CONTRATADA;</w:t>
      </w:r>
    </w:p>
    <w:p>
      <w:pPr>
        <w:pStyle w:val="Normal"/>
        <w:spacing w:lineRule="auto" w:line="240"/>
        <w:jc w:val="both"/>
        <w:rPr>
          <w:rFonts w:ascii="Verdana" w:hAnsi="Verdana"/>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w:t>
      </w:r>
      <w:r>
        <w:rPr>
          <w:rFonts w:cs="Arial" w:ascii="Verdana" w:hAnsi="Verdana"/>
          <w:b w:val="false"/>
          <w:bCs w:val="false"/>
          <w:sz w:val="20"/>
          <w:szCs w:val="20"/>
          <w:lang w:val="pt-BR"/>
        </w:rPr>
        <w:t>5</w:t>
      </w:r>
      <w:r>
        <w:rPr>
          <w:rFonts w:cs="Arial" w:ascii="Verdana" w:hAnsi="Verdana"/>
          <w:sz w:val="20"/>
          <w:szCs w:val="20"/>
        </w:rPr>
        <w:t xml:space="preserve"> O recebimento não isenta a CONTRATADA de responsabilidades futuras quanto à qualidade do</w:t>
      </w:r>
      <w:r>
        <w:rPr>
          <w:rFonts w:cs="Arial" w:ascii="Verdana" w:hAnsi="Verdana"/>
          <w:sz w:val="20"/>
          <w:szCs w:val="20"/>
          <w:lang w:val="pt-BR"/>
        </w:rPr>
        <w:t xml:space="preserve"> material</w:t>
      </w:r>
      <w:r>
        <w:rPr>
          <w:rFonts w:cs="Arial" w:ascii="Verdana" w:hAnsi="Verdana"/>
          <w:sz w:val="20"/>
          <w:szCs w:val="20"/>
        </w:rPr>
        <w:t>.</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iCs/>
          <w:color w:val="auto"/>
          <w:sz w:val="20"/>
          <w:szCs w:val="20"/>
        </w:rPr>
        <w:t>5.6</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5.7.</w:t>
      </w:r>
      <w:r>
        <w:rPr>
          <w:rFonts w:cs="Times New Roman" w:ascii="Verdana" w:hAnsi="Verdana"/>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5.8.</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5.9.</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5.10.</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iCs/>
          <w:color w:val="auto"/>
          <w:sz w:val="20"/>
          <w:szCs w:val="20"/>
        </w:rPr>
        <w:t>5.11. No caso de recusa da entrega do produto pelo fornecedor, a Administração Pública adotará as providências cabíveis, de cordo com a legislação aplicável, visando sanar problemas por ventura ocorridos.</w:t>
      </w:r>
    </w:p>
    <w:p>
      <w:pPr>
        <w:pStyle w:val="Normal"/>
        <w:widowControl/>
        <w:tabs>
          <w:tab w:val="clear" w:pos="708"/>
          <w:tab w:val="left" w:pos="508" w:leader="none"/>
        </w:tabs>
        <w:suppressAutoHyphens w:val="true"/>
        <w:bidi w:val="0"/>
        <w:spacing w:lineRule="auto" w:line="240" w:before="0" w:after="0"/>
        <w:ind w:left="0" w:right="0" w:hanging="0"/>
        <w:jc w:val="both"/>
        <w:rPr>
          <w:rFonts w:ascii="Verdana" w:hAnsi="Verdana"/>
          <w:sz w:val="20"/>
          <w:szCs w:val="20"/>
        </w:rPr>
      </w:pPr>
      <w:r>
        <w:rPr>
          <w:rFonts w:cs="Times New Roman" w:ascii="Verdana" w:hAnsi="Verdana"/>
          <w:b w:val="false"/>
          <w:bCs w:val="false"/>
          <w:iCs/>
          <w:color w:val="auto"/>
          <w:sz w:val="20"/>
          <w:szCs w:val="20"/>
        </w:rPr>
        <w:t>5.12. Não se verifica contratações correlatas ou interdependentes.</w:t>
      </w:r>
    </w:p>
    <w:p>
      <w:pPr>
        <w:pStyle w:val="Normal"/>
        <w:widowControl/>
        <w:tabs>
          <w:tab w:val="clear" w:pos="708"/>
          <w:tab w:val="left" w:pos="508" w:leader="none"/>
        </w:tabs>
        <w:suppressAutoHyphens w:val="true"/>
        <w:bidi w:val="0"/>
        <w:spacing w:lineRule="auto" w:line="240" w:before="0" w:after="0"/>
        <w:ind w:left="0" w:right="0" w:hanging="0"/>
        <w:jc w:val="both"/>
        <w:rPr>
          <w:rFonts w:ascii="Verdana" w:hAnsi="Verdana" w:cs="Times New Roman"/>
          <w:b w:val="false"/>
          <w:bCs w:val="false"/>
          <w:iCs/>
          <w:color w:val="auto"/>
          <w:sz w:val="20"/>
          <w:szCs w:val="20"/>
        </w:rPr>
      </w:pPr>
      <w:r>
        <w:rPr>
          <w:rFonts w:cs="Times New Roman" w:ascii="Verdana" w:hAnsi="Verdana"/>
          <w:b w:val="false"/>
          <w:bCs w:val="false"/>
          <w:iCs/>
          <w:color w:val="auto"/>
          <w:sz w:val="20"/>
          <w:szCs w:val="20"/>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shd w:fill="auto" w:val="clear"/>
        </w:rPr>
        <w:t>6. OBRIGAÇÕES DA CONTRATANTE</w:t>
      </w:r>
    </w:p>
    <w:p>
      <w:pPr>
        <w:pStyle w:val="Normal"/>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6.1. Constituem obrigações da Contratante, além de outras previstas no, Termo de Referência, no Edital e seus anexos:</w:t>
      </w:r>
    </w:p>
    <w:p>
      <w:pPr>
        <w:pStyle w:val="Normal"/>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6.2. Contratar o serviço no prazo e condições estabelecidas no Edital e seus anexos.</w:t>
      </w:r>
    </w:p>
    <w:p>
      <w:pPr>
        <w:pStyle w:val="Normal"/>
        <w:tabs>
          <w:tab w:val="clear" w:pos="708"/>
          <w:tab w:val="left" w:pos="508" w:leader="none"/>
        </w:tabs>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6.3.</w:t>
      </w:r>
      <w:r>
        <w:rPr>
          <w:rFonts w:eastAsia="Times New Roman" w:cs="Arial" w:ascii="Verdana" w:hAnsi="Verdana"/>
          <w:b w:val="false"/>
          <w:bCs w:val="false"/>
          <w:i w:val="false"/>
          <w:iCs w:val="false"/>
          <w:color w:val="000000"/>
          <w:sz w:val="20"/>
          <w:szCs w:val="20"/>
        </w:rPr>
        <w:t xml:space="preserve">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6.4.</w:t>
      </w:r>
      <w:r>
        <w:rPr>
          <w:rFonts w:eastAsia="Times New Roman" w:cs="Arial"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6.5.</w:t>
      </w:r>
      <w:r>
        <w:rPr>
          <w:rFonts w:eastAsia="Times New Roman" w:cs="Arial" w:ascii="Verdana" w:hAnsi="Verdana"/>
          <w:b w:val="false"/>
          <w:bCs w:val="false"/>
          <w:i w:val="false"/>
          <w:iCs w:val="false"/>
          <w:color w:val="000000"/>
          <w:sz w:val="20"/>
          <w:szCs w:val="20"/>
        </w:rPr>
        <w:t xml:space="preserve"> Acompanhar e fiscalizar o cumprimento das obrigações da Contratada.</w:t>
      </w:r>
    </w:p>
    <w:p>
      <w:pPr>
        <w:pStyle w:val="Normal"/>
        <w:tabs>
          <w:tab w:val="clear" w:pos="708"/>
          <w:tab w:val="left" w:pos="508" w:leader="none"/>
        </w:tabs>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6.6.</w:t>
      </w:r>
      <w:r>
        <w:rPr>
          <w:rFonts w:eastAsia="Times New Roman" w:cs="Arial" w:ascii="Verdana" w:hAnsi="Verdana"/>
          <w:b w:val="false"/>
          <w:bCs w:val="false"/>
          <w:i w:val="false"/>
          <w:iCs w:val="false"/>
          <w:color w:val="000000"/>
          <w:sz w:val="20"/>
          <w:szCs w:val="20"/>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6.7.</w:t>
      </w:r>
      <w:r>
        <w:rPr>
          <w:rFonts w:eastAsia="Times New Roman" w:cs="Arial" w:ascii="Verdana" w:hAnsi="Verdana"/>
          <w:b w:val="false"/>
          <w:bCs w:val="false"/>
          <w:i w:val="false"/>
          <w:iCs w:val="false"/>
          <w:color w:val="000000"/>
          <w:sz w:val="20"/>
          <w:szCs w:val="2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40"/>
        <w:ind w:left="0" w:hanging="0"/>
        <w:jc w:val="both"/>
        <w:rPr>
          <w:rFonts w:ascii="Verdana" w:hAnsi="Verdana"/>
          <w:sz w:val="20"/>
          <w:szCs w:val="20"/>
        </w:rPr>
      </w:pPr>
      <w:r>
        <w:rPr>
          <w:rFonts w:cs="Arial" w:ascii="Verdana" w:hAnsi="Verdana"/>
          <w:b w:val="false"/>
          <w:bCs w:val="false"/>
          <w:sz w:val="20"/>
          <w:szCs w:val="20"/>
          <w:lang w:val="pt-BR"/>
        </w:rPr>
        <w:t xml:space="preserve">6.8. </w:t>
      </w:r>
      <w:r>
        <w:rPr>
          <w:rFonts w:cs="Arial" w:ascii="Verdana" w:hAnsi="Verdana"/>
          <w:b w:val="false"/>
          <w:bCs w:val="false"/>
          <w:sz w:val="20"/>
          <w:szCs w:val="20"/>
        </w:rPr>
        <w:t>Disponibilizar o local para execução dos serviços.</w:t>
      </w:r>
    </w:p>
    <w:p>
      <w:pPr>
        <w:pStyle w:val="Normal"/>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6.9. </w:t>
      </w:r>
      <w:r>
        <w:rPr>
          <w:rFonts w:cs="Arial" w:ascii="Verdana" w:hAnsi="Verdana"/>
          <w:b w:val="false"/>
          <w:bCs w:val="false"/>
          <w:sz w:val="20"/>
          <w:szCs w:val="20"/>
        </w:rPr>
        <w:t>P</w:t>
      </w:r>
      <w:r>
        <w:rPr>
          <w:rFonts w:cs="Arial" w:ascii="Verdana" w:hAnsi="Verdana"/>
          <w:sz w:val="20"/>
          <w:szCs w:val="20"/>
        </w:rPr>
        <w:t>restar informações e os esclarecimentos solicitados pela empresa, relacionados com o objeto pactuado.</w:t>
      </w:r>
    </w:p>
    <w:p>
      <w:pPr>
        <w:pStyle w:val="Normal"/>
        <w:spacing w:lineRule="auto" w:line="240"/>
        <w:ind w:lef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shd w:fill="auto" w:val="clear"/>
        </w:rPr>
        <w:t>7. OBRIGAÇÕES DA CONTRATADA</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shd w:fill="auto" w:val="clear"/>
        </w:rPr>
        <w:t>7.1. 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shd w:fill="auto" w:val="clear"/>
        </w:rPr>
        <w:t xml:space="preserve">7.2. Efetuar </w:t>
      </w:r>
      <w:r>
        <w:rPr>
          <w:rFonts w:eastAsia="Times New Roman" w:cs="Arial" w:ascii="Verdana" w:hAnsi="Verdana"/>
          <w:b w:val="false"/>
          <w:bCs w:val="false"/>
          <w:i w:val="false"/>
          <w:iCs w:val="false"/>
          <w:color w:val="000000"/>
          <w:kern w:val="0"/>
          <w:sz w:val="20"/>
          <w:szCs w:val="20"/>
          <w:shd w:fill="auto" w:val="clear"/>
          <w:lang w:val="pt-BR" w:eastAsia="pt-BR" w:bidi="ar-SA"/>
        </w:rPr>
        <w:t xml:space="preserve">a entrega, instalação e </w:t>
      </w:r>
      <w:r>
        <w:rPr>
          <w:rFonts w:cs="Arial" w:ascii="Verdana" w:hAnsi="Verdana"/>
          <w:b w:val="false"/>
          <w:bCs w:val="false"/>
          <w:i w:val="false"/>
          <w:iCs w:val="false"/>
          <w:color w:val="000000"/>
          <w:sz w:val="20"/>
          <w:szCs w:val="20"/>
          <w:shd w:fill="auto" w:val="clear"/>
        </w:rPr>
        <w:t>demais serviços, conforme especificações, prazo e local constantes no Termo de Referência e seus anexos, acompanhado da respectiva nota fiscal.</w:t>
      </w:r>
    </w:p>
    <w:p>
      <w:pPr>
        <w:pStyle w:val="Normal"/>
        <w:tabs>
          <w:tab w:val="clear" w:pos="708"/>
          <w:tab w:val="left" w:pos="5220"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7.3.</w:t>
      </w:r>
      <w:r>
        <w:rPr>
          <w:rFonts w:cs="Arial" w:ascii="Verdana" w:hAnsi="Verdana"/>
          <w:b w:val="false"/>
          <w:bCs w:val="false"/>
          <w:sz w:val="20"/>
          <w:szCs w:val="20"/>
          <w:lang w:val="pt-BR"/>
        </w:rPr>
        <w:t xml:space="preserve"> </w:t>
      </w:r>
      <w:r>
        <w:rPr>
          <w:rFonts w:cs="Arial" w:ascii="Verdana" w:hAnsi="Verdana"/>
          <w:b w:val="false"/>
          <w:bCs w:val="false"/>
          <w:sz w:val="20"/>
          <w:szCs w:val="20"/>
        </w:rPr>
        <w:t>Apresentar os documentos de cobrança, inclusive NOTA FISCAL, com a descrição dos serviços realizados.</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7.4.</w:t>
      </w:r>
      <w:r>
        <w:rPr>
          <w:rFonts w:cs="Arial" w:ascii="Verdana" w:hAnsi="Verdana"/>
          <w:b w:val="false"/>
          <w:bCs w:val="false"/>
          <w:sz w:val="20"/>
          <w:szCs w:val="20"/>
          <w:lang w:val="pt-BR"/>
        </w:rPr>
        <w:t xml:space="preserve"> </w:t>
      </w:r>
      <w:r>
        <w:rPr>
          <w:rFonts w:cs="Arial" w:ascii="Verdana" w:hAnsi="Verdana"/>
          <w:b w:val="false"/>
          <w:bCs w:val="false"/>
          <w:sz w:val="20"/>
          <w:szCs w:val="20"/>
        </w:rPr>
        <w:t>Assumir inteira responsabilidade civil, administrativa e penal por quaisquer danos e prejuízos, aos equipamentos ou pessoas, causados pela CONTRATADA, seus empregados, ou prepostos à CONTRATANTE ou a terceiros.</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7.5.</w:t>
      </w:r>
      <w:r>
        <w:rPr>
          <w:rFonts w:cs="Arial" w:ascii="Verdana" w:hAnsi="Verdana"/>
          <w:b w:val="false"/>
          <w:bCs w:val="false"/>
          <w:sz w:val="20"/>
          <w:szCs w:val="20"/>
          <w:lang w:val="pt-BR"/>
        </w:rPr>
        <w:t xml:space="preserve"> </w:t>
      </w:r>
      <w:r>
        <w:rPr>
          <w:rFonts w:cs="Arial" w:ascii="Verdana" w:hAnsi="Verdana"/>
          <w:b w:val="false"/>
          <w:bCs w:val="false"/>
          <w:sz w:val="20"/>
          <w:szCs w:val="20"/>
        </w:rPr>
        <w:t>Obriga-se a CONTRATADA, mediante solicitação da CONTRATANTE, a orçar previamente eventual execução de serviços não cobertos pelo objeto do Contrato.</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7.6. </w:t>
      </w:r>
      <w:r>
        <w:rPr>
          <w:rFonts w:cs="Arial" w:ascii="Verdana" w:hAnsi="Verdana"/>
          <w:b w:val="false"/>
          <w:bCs w:val="false"/>
          <w:sz w:val="20"/>
          <w:szCs w:val="20"/>
        </w:rPr>
        <w:t>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7.7. </w:t>
      </w:r>
      <w:r>
        <w:rPr>
          <w:rFonts w:cs="Arial" w:ascii="Verdana" w:hAnsi="Verdana"/>
          <w:b w:val="false"/>
          <w:bCs w:val="false"/>
          <w:sz w:val="20"/>
          <w:szCs w:val="20"/>
        </w:rPr>
        <w:t>Manter durante a vigência da contratação/aquisição todas as condições de habilitação e qualificação exigidas pela legislação em vigor.</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7.8. </w:t>
      </w:r>
      <w:r>
        <w:rPr>
          <w:rFonts w:cs="Arial" w:ascii="Verdana" w:hAnsi="Verdana"/>
          <w:b w:val="false"/>
          <w:bCs w:val="false"/>
          <w:sz w:val="20"/>
          <w:szCs w:val="20"/>
        </w:rPr>
        <w:t>Providenciar a colocação, em tempo hábil, de todos os materiais e equipamentos necessários ao andamento dos serviços, dentro da programação prevista; o equipamento deve ser de nível tecnológico adequado e em prefeita condição de funcionament</w:t>
      </w:r>
      <w:r>
        <w:rPr>
          <w:rFonts w:cs="Arial" w:ascii="Verdana" w:hAnsi="Verdana"/>
          <w:sz w:val="20"/>
          <w:szCs w:val="20"/>
        </w:rPr>
        <w:t>o.</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7.9</w:t>
      </w:r>
      <w:r>
        <w:rPr>
          <w:rFonts w:eastAsia="Times New Roman" w:cs="Arial" w:ascii="Verdana" w:hAnsi="Verdana"/>
          <w:b/>
          <w:bCs/>
          <w:color w:val="auto"/>
          <w:kern w:val="0"/>
          <w:sz w:val="20"/>
          <w:szCs w:val="20"/>
          <w:lang w:val="pt-BR" w:eastAsia="pt-BR" w:bidi="ar-SA"/>
        </w:rPr>
        <w:t xml:space="preserve">.  </w:t>
      </w:r>
      <w:r>
        <w:rPr>
          <w:rFonts w:cs="Arial" w:ascii="Verdana" w:hAnsi="Verdana"/>
          <w:sz w:val="20"/>
          <w:szCs w:val="20"/>
        </w:rPr>
        <w:t>Cumprir e fazer cumprir os dispositivos legais pertinentes aos elementos de defesa e preservação do meio ambiente relativamente às legislações em nível federal, estadual e municipal.</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7.10. </w:t>
      </w:r>
      <w:r>
        <w:rPr>
          <w:rFonts w:cs="Arial" w:ascii="Verdana" w:hAnsi="Verdana"/>
          <w:sz w:val="20"/>
          <w:szCs w:val="20"/>
        </w:rPr>
        <w:t>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7.11. </w:t>
      </w:r>
      <w:r>
        <w:rPr>
          <w:rFonts w:cs="Arial" w:ascii="Verdana" w:hAnsi="Verdana"/>
          <w:b w:val="false"/>
          <w:bCs w:val="false"/>
          <w:sz w:val="20"/>
          <w:szCs w:val="20"/>
        </w:rPr>
        <w:t>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7.12. </w:t>
      </w:r>
      <w:r>
        <w:rPr>
          <w:rFonts w:cs="Arial" w:ascii="Verdana" w:hAnsi="Verdana"/>
          <w:b w:val="false"/>
          <w:bCs w:val="false"/>
          <w:sz w:val="20"/>
          <w:szCs w:val="20"/>
          <w:lang w:val="pt-BR"/>
        </w:rPr>
        <w:t xml:space="preserve"> </w:t>
      </w:r>
      <w:r>
        <w:rPr>
          <w:rFonts w:cs="Arial" w:ascii="Verdana" w:hAnsi="Verdana"/>
          <w:b w:val="false"/>
          <w:bCs w:val="false"/>
          <w:sz w:val="20"/>
          <w:szCs w:val="20"/>
        </w:rPr>
        <w:t>Manter-se plenamente de acordo com os preceitos legais pertinentes à segurança do trabalho, adotando sempre as melhores normas técnicas de segurança e saúde aos profissionais que estarão atuando na execução do objeto do contrato.</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7.13.</w:t>
      </w:r>
      <w:r>
        <w:rPr>
          <w:rFonts w:cs="Arial" w:ascii="Verdana" w:hAnsi="Verdana"/>
          <w:b w:val="false"/>
          <w:bCs w:val="false"/>
          <w:sz w:val="20"/>
          <w:szCs w:val="20"/>
          <w:lang w:val="pt-BR"/>
        </w:rPr>
        <w:t xml:space="preserve"> </w:t>
      </w:r>
      <w:r>
        <w:rPr>
          <w:rFonts w:cs="Arial" w:ascii="Verdana" w:hAnsi="Verdana"/>
          <w:b w:val="false"/>
          <w:bCs w:val="false"/>
          <w:sz w:val="20"/>
          <w:szCs w:val="20"/>
        </w:rPr>
        <w:t xml:space="preserve">Executar o objeto desta </w:t>
      </w:r>
      <w:r>
        <w:rPr>
          <w:rFonts w:eastAsia="Times New Roman" w:cs="Arial" w:ascii="Verdana" w:hAnsi="Verdana"/>
          <w:b w:val="false"/>
          <w:bCs w:val="false"/>
          <w:color w:val="auto"/>
          <w:kern w:val="0"/>
          <w:sz w:val="20"/>
          <w:szCs w:val="20"/>
          <w:lang w:val="pt-BR" w:eastAsia="pt-BR" w:bidi="ar-SA"/>
        </w:rPr>
        <w:t>contratação</w:t>
      </w:r>
      <w:r>
        <w:rPr>
          <w:rFonts w:cs="Arial" w:ascii="Verdana" w:hAnsi="Verdana"/>
          <w:b w:val="false"/>
          <w:bCs w:val="false"/>
          <w:sz w:val="20"/>
          <w:szCs w:val="20"/>
        </w:rPr>
        <w:t xml:space="preserve"> de acordo com a melhor técnica e nos padrões de segurança;</w:t>
      </w:r>
    </w:p>
    <w:p>
      <w:pPr>
        <w:pStyle w:val="Normal"/>
        <w:tabs>
          <w:tab w:val="clear" w:pos="708"/>
          <w:tab w:val="left" w:pos="142" w:leader="none"/>
        </w:tabs>
        <w:spacing w:lineRule="auto" w:line="240"/>
        <w:ind w:left="0" w:hanging="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7.14</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A nota fiscal deverá ser acompanhada pelas Certidões de Regularidades Fiscais.</w:t>
      </w:r>
    </w:p>
    <w:p>
      <w:pPr>
        <w:pStyle w:val="Normal"/>
        <w:tabs>
          <w:tab w:val="clear" w:pos="708"/>
          <w:tab w:val="left" w:pos="0" w:leader="none"/>
        </w:tabs>
        <w:spacing w:lineRule="auto" w:line="240"/>
        <w:ind w:left="0" w:right="0" w:hanging="0"/>
        <w:jc w:val="both"/>
        <w:rPr>
          <w:rFonts w:ascii="Verdana" w:hAnsi="Verdana"/>
          <w:sz w:val="20"/>
          <w:szCs w:val="20"/>
        </w:rPr>
      </w:pPr>
      <w:r>
        <w:rPr>
          <w:rFonts w:ascii="Verdana" w:hAnsi="Verdana"/>
          <w:sz w:val="20"/>
          <w:szCs w:val="20"/>
        </w:rPr>
      </w:r>
    </w:p>
    <w:p>
      <w:pPr>
        <w:pStyle w:val="Normal"/>
        <w:spacing w:lineRule="auto" w:line="240"/>
        <w:ind w:left="0" w:right="0" w:hanging="0"/>
        <w:jc w:val="both"/>
        <w:rPr>
          <w:rFonts w:ascii="Verdana" w:hAnsi="Verdana"/>
          <w:sz w:val="20"/>
          <w:szCs w:val="20"/>
        </w:rPr>
      </w:pPr>
      <w:r>
        <w:rPr>
          <w:rFonts w:ascii="Verdana" w:hAnsi="Verdana"/>
          <w:b/>
          <w:bCs/>
          <w:sz w:val="20"/>
          <w:szCs w:val="20"/>
        </w:rPr>
        <w:t>8. CRITÉRIOS DE PAGAMENTO</w:t>
      </w:r>
    </w:p>
    <w:p>
      <w:pPr>
        <w:pStyle w:val="Normal"/>
        <w:spacing w:lineRule="auto" w:line="24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8.1.</w:t>
      </w:r>
      <w:r>
        <w:rPr>
          <w:rFonts w:eastAsia="Times New Roman" w:cs="Arial" w:ascii="Verdana" w:hAnsi="Verdana"/>
          <w:b w:val="false"/>
          <w:bCs w:val="false"/>
          <w:color w:val="auto"/>
          <w:kern w:val="0"/>
          <w:sz w:val="20"/>
          <w:szCs w:val="20"/>
          <w:lang w:val="pt-BR" w:eastAsia="en-US" w:bidi="ar-SA"/>
        </w:rPr>
        <w:t xml:space="preserve"> Recebida a Nota Fiscal ou documento de cobrança equivalente, correrá o prazo de </w:t>
      </w:r>
      <w:r>
        <w:rPr>
          <w:rFonts w:eastAsia="Times New Roman" w:cs="Times New Roman" w:ascii="Verdana" w:hAnsi="Verdana"/>
          <w:b w:val="false"/>
          <w:bCs w:val="false"/>
          <w:color w:val="auto"/>
          <w:kern w:val="0"/>
          <w:sz w:val="20"/>
          <w:szCs w:val="20"/>
          <w:lang w:val="pt-BR" w:eastAsia="en-US" w:bidi="ar-SA"/>
        </w:rPr>
        <w:t>(30) trinta</w:t>
      </w:r>
      <w:r>
        <w:rPr>
          <w:rFonts w:eastAsia="Times New Roman" w:cs="Arial" w:ascii="Verdana" w:hAnsi="Verdana"/>
          <w:b w:val="false"/>
          <w:bCs w:val="false"/>
          <w:color w:val="auto"/>
          <w:kern w:val="0"/>
          <w:sz w:val="20"/>
          <w:szCs w:val="20"/>
          <w:lang w:val="pt-BR" w:eastAsia="en-US" w:bidi="ar-SA"/>
        </w:rPr>
        <w:t xml:space="preserve"> dias úteis para fins de liquidação, na forma desta seção, prorrogáveis por igual período.</w:t>
      </w:r>
    </w:p>
    <w:p>
      <w:pPr>
        <w:pStyle w:val="Normal"/>
        <w:spacing w:lineRule="auto" w:line="240"/>
        <w:ind w:left="-22" w:right="0" w:hanging="0"/>
        <w:jc w:val="both"/>
        <w:rPr/>
      </w:pPr>
      <w:r>
        <w:rPr>
          <w:rFonts w:ascii="Verdana" w:hAnsi="Verdana"/>
          <w:b w:val="false"/>
          <w:bCs w:val="false"/>
          <w:sz w:val="20"/>
          <w:szCs w:val="20"/>
        </w:rPr>
        <w:t xml:space="preserve">8.2. O prazo de que trata o item anterior será reduzido à metade, mantendo-se a possibilidade de prorrogação, no caso de contratações decorrentes de despesas cujos valores não ultrapassem o limite de que trata o </w:t>
      </w:r>
      <w:r>
        <w:fldChar w:fldCharType="begin"/>
      </w:r>
      <w:r>
        <w:rPr>
          <w:sz w:val="20"/>
          <w:u w:val="none"/>
          <w:b w:val="false"/>
          <w:szCs w:val="20"/>
          <w:bCs w:val="false"/>
          <w:rFonts w:ascii="Verdana" w:hAnsi="Verdana"/>
          <w:color w:val="000000"/>
        </w:rPr>
        <w:instrText xml:space="preserve"> HYPERLINK "http://www.planalto.gov.br/ccivil_03/_ato2019-2022/2021/lei/L14133.htm" \l "art75"</w:instrText>
      </w:r>
      <w:r>
        <w:rPr>
          <w:sz w:val="20"/>
          <w:u w:val="none"/>
          <w:b w:val="false"/>
          <w:szCs w:val="20"/>
          <w:bCs w:val="false"/>
          <w:rFonts w:ascii="Verdana" w:hAnsi="Verdana"/>
          <w:color w:val="000000"/>
        </w:rPr>
        <w:fldChar w:fldCharType="separate"/>
      </w:r>
      <w:r>
        <w:rPr>
          <w:rFonts w:ascii="Verdana" w:hAnsi="Verdana"/>
          <w:b w:val="false"/>
          <w:bCs w:val="false"/>
          <w:color w:val="000000"/>
          <w:sz w:val="20"/>
          <w:szCs w:val="20"/>
          <w:u w:val="none"/>
        </w:rPr>
        <w:t>inciso II do art. 75 da Lei nº 14.133, de 2021</w:t>
      </w:r>
      <w:r>
        <w:rPr>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8.3. Para fins de liquidação, o setor competente deverá verificar se a nota fiscal ou instrumento de cobrança equivalente apresentado expressa os elementos necessários e essenciais do documento, tais como: </w:t>
      </w:r>
      <w:r>
        <w:rPr>
          <w:rFonts w:cs="Arial" w:ascii="Verdana" w:hAnsi="Verdana"/>
          <w:sz w:val="20"/>
          <w:szCs w:val="20"/>
        </w:rPr>
        <w:t>O pagamento será efetuado pela Contratante após cada medição de acordo com o Cronograma Físico-Financeiro, mediante Requerimento protocolado pela Contratada no protocolo geral desta Prefeitura Municipal, no valor correspondente aos serviços executados.</w:t>
      </w:r>
    </w:p>
    <w:p>
      <w:pPr>
        <w:pStyle w:val="Normal"/>
        <w:spacing w:lineRule="auto" w:line="24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8.4.</w:t>
      </w:r>
      <w:r>
        <w:rPr>
          <w:rFonts w:cs="Arial" w:ascii="Verdana" w:hAnsi="Verdana"/>
          <w:b w:val="false"/>
          <w:bCs w:val="false"/>
          <w:sz w:val="20"/>
          <w:szCs w:val="20"/>
        </w:rPr>
        <w:t xml:space="preserve">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spacing w:lineRule="auto" w:line="24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8.5.</w:t>
      </w:r>
      <w:r>
        <w:rPr>
          <w:rFonts w:cs="Arial" w:ascii="Verdana" w:hAnsi="Verdana"/>
          <w:b w:val="false"/>
          <w:bCs w:val="false"/>
          <w:sz w:val="20"/>
          <w:szCs w:val="20"/>
        </w:rPr>
        <w:t xml:space="preserve"> Os pagamentos serão efetuados mediante termo de aprovação fornecido pela Secr</w:t>
      </w:r>
      <w:r>
        <w:rPr>
          <w:rFonts w:cs="Arial" w:ascii="Verdana" w:hAnsi="Verdana"/>
          <w:sz w:val="20"/>
          <w:szCs w:val="20"/>
        </w:rPr>
        <w:t>etaria Municipal de Obras e Desenvolvimento Urbano juntamente com a Secretaria Municipal de Educação e liberação do recurso financeiro.</w:t>
      </w:r>
    </w:p>
    <w:p>
      <w:pPr>
        <w:pStyle w:val="Normal"/>
        <w:spacing w:lineRule="auto" w:line="240"/>
        <w:ind w:right="0" w:hanging="0"/>
        <w:jc w:val="both"/>
        <w:rPr>
          <w:rFonts w:ascii="Verdana" w:hAnsi="Verdana"/>
          <w:sz w:val="20"/>
          <w:szCs w:val="20"/>
        </w:rPr>
      </w:pPr>
      <w:r>
        <w:rPr>
          <w:rFonts w:cs="Arial" w:ascii="Verdana" w:hAnsi="Verdana"/>
          <w:b w:val="false"/>
          <w:bCs w:val="false"/>
          <w:sz w:val="20"/>
          <w:szCs w:val="20"/>
        </w:rPr>
        <w:t>8.6.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8"/>
          <w:tab w:val="left" w:pos="563" w:leader="none"/>
        </w:tabs>
        <w:spacing w:lineRule="auto" w:line="240"/>
        <w:ind w:left="0" w:right="0" w:hanging="0"/>
        <w:jc w:val="both"/>
        <w:rPr>
          <w:rFonts w:ascii="Verdana" w:hAnsi="Verdana"/>
          <w:sz w:val="20"/>
          <w:szCs w:val="20"/>
        </w:rPr>
      </w:pPr>
      <w:r>
        <w:rPr>
          <w:rFonts w:ascii="Verdana" w:hAnsi="Verdana"/>
          <w:sz w:val="20"/>
          <w:szCs w:val="20"/>
        </w:rPr>
        <w:t xml:space="preserve">8.7.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sz w:val="20"/>
          <w:szCs w:val="20"/>
        </w:rPr>
        <w:t>- O prazo de validade;</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sz w:val="20"/>
          <w:szCs w:val="20"/>
        </w:rPr>
        <w:t xml:space="preserve">- A data da emissão;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sz w:val="20"/>
          <w:szCs w:val="20"/>
        </w:rPr>
        <w:t xml:space="preserve">- O valor a pagar; 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sz w:val="20"/>
          <w:szCs w:val="20"/>
        </w:rPr>
        <w:t>- Eventual destaque do valor de retenções tributárias cabíveis.</w:t>
      </w:r>
    </w:p>
    <w:p>
      <w:pPr>
        <w:pStyle w:val="Normal"/>
        <w:tabs>
          <w:tab w:val="clear" w:pos="708"/>
          <w:tab w:val="left" w:pos="563" w:leader="none"/>
        </w:tabs>
        <w:spacing w:lineRule="auto" w:line="240"/>
        <w:ind w:left="0" w:right="0" w:hanging="0"/>
        <w:jc w:val="both"/>
        <w:rPr/>
      </w:pPr>
      <w:r>
        <w:rPr>
          <w:rFonts w:ascii="Verdana" w:hAnsi="Verdana"/>
          <w:sz w:val="20"/>
          <w:szCs w:val="20"/>
        </w:rPr>
        <w:t>8.8. A</w:t>
      </w:r>
      <w:r>
        <w:rPr>
          <w:rFonts w:ascii="Verdana" w:hAnsi="Verdana"/>
          <w:sz w:val="20"/>
          <w:szCs w:val="20"/>
          <w:lang w:eastAsia="en-US"/>
        </w:rPr>
        <w:t xml:space="preserve"> nota fiscal ou instrumento de cobrança equivalente deverá ser obrigatoriamente acompanhado da comprovação da regularidade fiscal</w:t>
      </w:r>
      <w:r>
        <w:rPr>
          <w:rStyle w:val="LinkdaInternet"/>
          <w:rFonts w:ascii="Verdana" w:hAnsi="Verdana"/>
          <w:color w:val="auto"/>
          <w:sz w:val="20"/>
          <w:szCs w:val="20"/>
          <w:u w:val="none"/>
          <w:lang w:eastAsia="en-US"/>
        </w:rPr>
        <w:t>.</w:t>
      </w:r>
    </w:p>
    <w:p>
      <w:pPr>
        <w:pStyle w:val="Normal"/>
        <w:tabs>
          <w:tab w:val="clear" w:pos="708"/>
          <w:tab w:val="left" w:pos="563" w:leader="none"/>
        </w:tabs>
        <w:spacing w:lineRule="auto" w:line="240"/>
        <w:ind w:left="0" w:right="0" w:hanging="0"/>
        <w:jc w:val="both"/>
        <w:rPr/>
      </w:pPr>
      <w:r>
        <w:rPr>
          <w:rStyle w:val="LinkdaInternet"/>
          <w:rFonts w:ascii="Verdana" w:hAnsi="Verdana"/>
          <w:color w:val="auto"/>
          <w:sz w:val="20"/>
          <w:szCs w:val="20"/>
          <w:u w:val="none"/>
          <w:lang w:eastAsia="en-US"/>
        </w:rPr>
        <w:t xml:space="preserve">8.9. </w:t>
      </w:r>
      <w:r>
        <w:rPr>
          <w:rFonts w:ascii="Verdana" w:hAnsi="Verdana"/>
          <w:sz w:val="20"/>
          <w:szCs w:val="20"/>
        </w:rPr>
        <w:t>O pagamento será realizado por meio de ordem bancária, para crédito em banco, agência e conta corrente indicados pelo contratado.</w:t>
      </w:r>
    </w:p>
    <w:p>
      <w:pPr>
        <w:pStyle w:val="Normal"/>
        <w:tabs>
          <w:tab w:val="clear" w:pos="708"/>
          <w:tab w:val="left" w:pos="563" w:leader="none"/>
        </w:tabs>
        <w:spacing w:lineRule="auto" w:line="240"/>
        <w:ind w:left="0" w:right="0" w:hanging="0"/>
        <w:jc w:val="both"/>
        <w:rPr>
          <w:rFonts w:ascii="Verdana" w:hAnsi="Verdana"/>
          <w:sz w:val="20"/>
          <w:szCs w:val="20"/>
        </w:rPr>
      </w:pPr>
      <w:r>
        <w:rPr>
          <w:rFonts w:ascii="Verdana" w:hAnsi="Verdana"/>
          <w:sz w:val="20"/>
          <w:szCs w:val="20"/>
        </w:rPr>
        <w:t>8.10. Será considerada data do pagamento o dia em que constar como emitida a ordem bancária para pagamento.</w:t>
      </w:r>
    </w:p>
    <w:p>
      <w:pPr>
        <w:pStyle w:val="Normal"/>
        <w:tabs>
          <w:tab w:val="clear" w:pos="708"/>
          <w:tab w:val="left" w:pos="563" w:leader="none"/>
        </w:tabs>
        <w:spacing w:lineRule="auto" w:line="240"/>
        <w:ind w:left="0" w:right="0" w:hanging="0"/>
        <w:jc w:val="both"/>
        <w:rPr>
          <w:rFonts w:ascii="Verdana" w:hAnsi="Verdana"/>
          <w:sz w:val="20"/>
          <w:szCs w:val="20"/>
        </w:rPr>
      </w:pPr>
      <w:r>
        <w:rPr>
          <w:rFonts w:ascii="Verdana" w:hAnsi="Verdana"/>
          <w:sz w:val="20"/>
          <w:szCs w:val="20"/>
        </w:rPr>
        <w:t>8.11. Quando do pagamento, será efetuada a retenção tributária prevista na legislação aplicável.</w:t>
      </w:r>
    </w:p>
    <w:p>
      <w:pPr>
        <w:pStyle w:val="Normal"/>
        <w:tabs>
          <w:tab w:val="clear" w:pos="708"/>
          <w:tab w:val="left" w:pos="563" w:leader="none"/>
        </w:tabs>
        <w:spacing w:lineRule="auto" w:line="240"/>
        <w:ind w:left="0" w:right="0" w:hanging="0"/>
        <w:jc w:val="both"/>
        <w:rPr/>
      </w:pPr>
      <w:r>
        <w:rPr>
          <w:rFonts w:ascii="Verdana" w:hAnsi="Verdana"/>
          <w:sz w:val="20"/>
          <w:szCs w:val="20"/>
          <w:lang w:eastAsia="en-US"/>
        </w:rPr>
        <w:t xml:space="preserve">8.12. O contratado regularmente optante pelo Simples Nacional, nos termos da </w:t>
      </w:r>
      <w:hyperlink r:id="rId3">
        <w:r>
          <w:rPr>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40"/>
        <w:ind w:left="0" w:right="0" w:hanging="0"/>
        <w:jc w:val="both"/>
        <w:rPr>
          <w:rFonts w:ascii="Verdana" w:hAnsi="Verdana"/>
          <w:sz w:val="20"/>
          <w:szCs w:val="20"/>
        </w:rPr>
      </w:pPr>
      <w:r>
        <w:rPr>
          <w:rFonts w:ascii="Verdana" w:hAnsi="Verdana"/>
          <w:sz w:val="20"/>
          <w:szCs w:val="20"/>
          <w:lang w:eastAsia="en-US"/>
        </w:rPr>
        <w:t>8.13.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jc w:val="both"/>
        <w:rPr>
          <w:rFonts w:ascii="Verdana" w:hAnsi="Verdana"/>
          <w:b/>
          <w:bCs/>
          <w:sz w:val="20"/>
          <w:szCs w:val="20"/>
        </w:rPr>
      </w:pPr>
      <w:r>
        <w:rPr>
          <w:rFonts w:ascii="Verdana" w:hAnsi="Verdana"/>
          <w:b/>
          <w:bCs/>
          <w:sz w:val="20"/>
          <w:szCs w:val="20"/>
        </w:rPr>
      </w:r>
    </w:p>
    <w:p>
      <w:pPr>
        <w:pStyle w:val="Normal"/>
        <w:spacing w:lineRule="auto" w:line="240"/>
        <w:ind w:left="0" w:right="0" w:hanging="0"/>
        <w:jc w:val="both"/>
        <w:rPr>
          <w:rFonts w:ascii="Verdana" w:hAnsi="Verdana"/>
          <w:sz w:val="20"/>
          <w:szCs w:val="20"/>
        </w:rPr>
      </w:pPr>
      <w:r>
        <w:rPr>
          <w:rFonts w:ascii="Verdana" w:hAnsi="Verdana"/>
          <w:b/>
          <w:bCs/>
          <w:iCs/>
          <w:sz w:val="20"/>
          <w:szCs w:val="20"/>
          <w:shd w:fill="auto" w:val="clear"/>
        </w:rPr>
        <w:t>9. DAS SANÇÕES</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 Comete infração administrativa o fornecedor/prestador de serviço que cometer quaisquer das infrações previstas no art. 155 da Lei nº 14.133, de 2021, quais sejam:</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9.1.1. Dar causa à inexecução parcial do contrato.</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9.1.2. Dar causa à inexecução parcial que cause grave dano à Administração, ao funcionamento dos serviços públicos ou ao interesse coletivo.</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9.1.3. Dar causa à inexecução total;</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9.1.4. Deixar de entregar a documentação exigida para o certame.</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9.1.5. Não manter a proposta, salvo em decorrência de fato superveniente devidamente justificado.</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 xml:space="preserve">9.1.6. Não celebrar o contrato ou não entregar a documentação exigida para a contratação, quando convocado dentro do prazo de validade de sua proposta. </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9.1.7. Ensejar o retardamento da execução ou da entrega do objeto sem motivo justificado,</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9.1.8. Apresentar declaração ou documentação falsa exigida para o certame ou prestar declaração falsa durante a dispensa eletrônica ou a execução do objeto.</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9.1.9. Fraudar a dispensa eletrônica ou praticar ato fraudulento na execução do objeto.</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9.1.10. Comportar-se de modo inidôneo ou cometer fraude de qualquer natureza.</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9.1.11. Praticar atos ilícitos com vistas a frustrar os objetivos deste certame.</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9.1.12. Praticar ato lesivo previsto no art. 5º da Lei nº 12.846, de 1º de agosto de 2013.</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9.2.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240" w:before="0" w:after="0"/>
        <w:ind w:left="0" w:right="0" w:hanging="0"/>
        <w:jc w:val="both"/>
        <w:rPr>
          <w:rFonts w:ascii="Verdana" w:hAnsi="Verdana"/>
          <w:sz w:val="20"/>
          <w:szCs w:val="20"/>
        </w:rPr>
      </w:pPr>
      <w:r>
        <w:rPr>
          <w:rFonts w:ascii="Verdana" w:hAnsi="Verdana"/>
          <w:iCs/>
          <w:sz w:val="20"/>
          <w:szCs w:val="20"/>
          <w:shd w:fill="auto" w:val="clear"/>
        </w:rPr>
        <w:t xml:space="preserve">         </w:t>
      </w:r>
      <w:r>
        <w:rPr>
          <w:rFonts w:ascii="Verdana" w:hAnsi="Verdana"/>
          <w:iCs/>
          <w:sz w:val="20"/>
          <w:szCs w:val="20"/>
          <w:shd w:fill="auto" w:val="clear"/>
        </w:rPr>
        <w:t>a) Advertência pela falta do subitem 9.1.1 deste Termo de Referência, quando não se justificar a imposição de penalidade mais grave.</w:t>
      </w:r>
    </w:p>
    <w:p>
      <w:pPr>
        <w:pStyle w:val="Normal"/>
        <w:widowControl/>
        <w:suppressAutoHyphens w:val="true"/>
        <w:bidi w:val="0"/>
        <w:spacing w:lineRule="auto" w:line="240" w:before="0" w:after="0"/>
        <w:ind w:left="-57" w:right="0" w:hanging="0"/>
        <w:jc w:val="both"/>
        <w:rPr>
          <w:rFonts w:ascii="Verdana" w:hAnsi="Verdana"/>
          <w:sz w:val="20"/>
          <w:szCs w:val="20"/>
        </w:rPr>
      </w:pPr>
      <w:r>
        <w:rPr>
          <w:rFonts w:ascii="Verdana" w:hAnsi="Verdana"/>
          <w:iCs/>
          <w:sz w:val="20"/>
          <w:szCs w:val="20"/>
          <w:shd w:fill="auto" w:val="clear"/>
        </w:rPr>
        <w:t xml:space="preserve">            </w:t>
      </w:r>
      <w:r>
        <w:rPr>
          <w:rFonts w:ascii="Verdana" w:hAnsi="Verdana"/>
          <w:iCs/>
          <w:sz w:val="20"/>
          <w:szCs w:val="20"/>
          <w:shd w:fill="auto" w:val="clear"/>
        </w:rPr>
        <w:t xml:space="preserve">b) 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 </w:t>
      </w:r>
    </w:p>
    <w:p>
      <w:pPr>
        <w:pStyle w:val="Normal"/>
        <w:widowControl/>
        <w:suppressAutoHyphens w:val="true"/>
        <w:bidi w:val="0"/>
        <w:spacing w:lineRule="auto" w:line="240" w:before="0" w:after="0"/>
        <w:ind w:left="0" w:right="0" w:hanging="0"/>
        <w:jc w:val="both"/>
        <w:rPr>
          <w:rFonts w:ascii="Verdana" w:hAnsi="Verdana"/>
          <w:sz w:val="20"/>
          <w:szCs w:val="20"/>
        </w:rPr>
      </w:pPr>
      <w:r>
        <w:rPr>
          <w:rFonts w:ascii="Verdana" w:hAnsi="Verdana"/>
          <w:iCs/>
          <w:sz w:val="20"/>
          <w:szCs w:val="20"/>
          <w:shd w:fill="auto" w:val="clear"/>
        </w:rPr>
        <w:t xml:space="preserve">                    </w:t>
      </w:r>
      <w:r>
        <w:rPr>
          <w:rFonts w:ascii="Verdana" w:hAnsi="Verdana"/>
          <w:iCs/>
          <w:sz w:val="20"/>
          <w:szCs w:val="20"/>
          <w:shd w:fill="auto" w:val="clear"/>
        </w:rPr>
        <w:t>b.1) O valor da multa poderá ser descontado das faturas devidas à CONTRATADA;</w:t>
      </w:r>
    </w:p>
    <w:p>
      <w:pPr>
        <w:pStyle w:val="Normal"/>
        <w:widowControl/>
        <w:suppressAutoHyphens w:val="true"/>
        <w:bidi w:val="0"/>
        <w:spacing w:lineRule="auto" w:line="240" w:before="0" w:after="0"/>
        <w:ind w:left="0" w:right="0" w:hanging="0"/>
        <w:jc w:val="both"/>
        <w:rPr>
          <w:rFonts w:ascii="Verdana" w:hAnsi="Verdana"/>
          <w:sz w:val="20"/>
          <w:szCs w:val="20"/>
        </w:rPr>
      </w:pPr>
      <w:r>
        <w:rPr>
          <w:rFonts w:ascii="Verdana" w:hAnsi="Verdana"/>
          <w:iCs/>
          <w:sz w:val="20"/>
          <w:szCs w:val="20"/>
          <w:shd w:fill="auto" w:val="clear"/>
        </w:rPr>
        <w:t xml:space="preserve">                     </w:t>
      </w:r>
      <w:r>
        <w:rPr>
          <w:rFonts w:ascii="Verdana" w:hAnsi="Verdana"/>
          <w:iCs/>
          <w:sz w:val="20"/>
          <w:szCs w:val="20"/>
          <w:shd w:fill="auto" w:val="clear"/>
        </w:rPr>
        <w:t xml:space="preserve">b.2) A multa pode ser aplicada isoladamente ou juntamente com as penalidades definidas nos itens “c” e “d” abaixo: </w:t>
      </w:r>
    </w:p>
    <w:p>
      <w:pPr>
        <w:pStyle w:val="Normal"/>
        <w:widowControl/>
        <w:suppressAutoHyphens w:val="true"/>
        <w:bidi w:val="0"/>
        <w:spacing w:lineRule="auto" w:line="240" w:before="0" w:after="0"/>
        <w:ind w:left="0" w:right="0" w:hanging="0"/>
        <w:jc w:val="both"/>
        <w:rPr>
          <w:rFonts w:ascii="Verdana" w:hAnsi="Verdana"/>
          <w:sz w:val="20"/>
          <w:szCs w:val="20"/>
        </w:rPr>
      </w:pPr>
      <w:r>
        <w:rPr>
          <w:rFonts w:ascii="Verdana" w:hAnsi="Verdana"/>
          <w:iCs/>
          <w:sz w:val="20"/>
          <w:szCs w:val="20"/>
          <w:shd w:fill="auto" w:val="clear"/>
        </w:rPr>
        <w:t xml:space="preserve">         </w:t>
      </w:r>
      <w:r>
        <w:rPr>
          <w:rFonts w:ascii="Verdana" w:hAnsi="Verdana"/>
          <w:iCs/>
          <w:sz w:val="20"/>
          <w:szCs w:val="20"/>
          <w:shd w:fill="auto" w:val="clear"/>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widowControl/>
        <w:suppressAutoHyphens w:val="true"/>
        <w:bidi w:val="0"/>
        <w:spacing w:lineRule="auto" w:line="240" w:before="0" w:after="0"/>
        <w:ind w:left="0" w:right="0" w:hanging="0"/>
        <w:jc w:val="both"/>
        <w:rPr>
          <w:rFonts w:ascii="Verdana" w:hAnsi="Verdana"/>
          <w:sz w:val="20"/>
          <w:szCs w:val="20"/>
        </w:rPr>
      </w:pPr>
      <w:r>
        <w:rPr>
          <w:rFonts w:ascii="Verdana" w:hAnsi="Verdana"/>
          <w:iCs/>
          <w:sz w:val="20"/>
          <w:szCs w:val="20"/>
          <w:shd w:fill="auto" w:val="clear"/>
        </w:rPr>
        <w:t xml:space="preserve">         </w:t>
      </w:r>
      <w:r>
        <w:rPr>
          <w:rFonts w:ascii="Verdana" w:hAnsi="Verdana"/>
          <w:iCs/>
          <w:sz w:val="20"/>
          <w:szCs w:val="20"/>
          <w:shd w:fill="auto" w:val="clear"/>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9.3. Na aplicação das sanções serão considerados:</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9.3.1. A natureza e a gravidade da infração cometida.</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9.3.2. As peculiaridades do caso concreto.</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9.3.3. As circunstâncias agravantes ou atenuantes.</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9.3.4. Os danos que dela provierem para a Administração Pública.</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9.3.5. A implantação ou o aperfeiçoamento de programa de integridade, conforme normas e orientações dos órgãos de controle.</w:t>
      </w:r>
    </w:p>
    <w:p>
      <w:pPr>
        <w:pStyle w:val="Normal"/>
        <w:spacing w:lineRule="auto" w:line="240"/>
        <w:ind w:left="0" w:right="0" w:hanging="0"/>
        <w:jc w:val="both"/>
        <w:rPr>
          <w:rFonts w:ascii="Verdana" w:hAnsi="Verdana"/>
          <w:sz w:val="20"/>
          <w:szCs w:val="20"/>
        </w:rPr>
      </w:pPr>
      <w:r>
        <w:rPr>
          <w:rFonts w:ascii="Verdana" w:hAnsi="Verdana"/>
          <w:iCs/>
          <w:sz w:val="20"/>
          <w:szCs w:val="20"/>
          <w:shd w:fill="auto" w:val="clear"/>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shd w:fill="auto" w:val="clear"/>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left="0" w:right="0" w:hanging="0"/>
        <w:jc w:val="both"/>
        <w:rPr>
          <w:rFonts w:ascii="Verdana" w:hAnsi="Verdana"/>
          <w:sz w:val="20"/>
          <w:szCs w:val="20"/>
        </w:rPr>
      </w:pPr>
      <w:r>
        <w:rPr>
          <w:rFonts w:ascii="Verdana" w:hAnsi="Verdana"/>
          <w:sz w:val="20"/>
          <w:szCs w:val="20"/>
        </w:rPr>
      </w:r>
    </w:p>
    <w:p>
      <w:pPr>
        <w:pStyle w:val="Normal"/>
        <w:spacing w:lineRule="auto" w:line="240"/>
        <w:ind w:left="-79" w:right="0" w:hanging="0"/>
        <w:jc w:val="both"/>
        <w:rPr>
          <w:rFonts w:ascii="Verdana" w:hAnsi="Verdana"/>
          <w:sz w:val="20"/>
          <w:szCs w:val="20"/>
        </w:rPr>
      </w:pPr>
      <w:r>
        <w:rPr>
          <w:rFonts w:ascii="Verdana" w:hAnsi="Verdana"/>
          <w:b/>
          <w:bCs/>
          <w:sz w:val="20"/>
          <w:szCs w:val="20"/>
          <w:lang w:eastAsia="en-US"/>
        </w:rPr>
        <w:t>10. DA HABILITAÇÃO</w:t>
      </w:r>
    </w:p>
    <w:p>
      <w:pPr>
        <w:pStyle w:val="Nivel01"/>
        <w:keepNext w:val="true"/>
        <w:keepLines/>
        <w:widowControl/>
        <w:tabs>
          <w:tab w:val="clear" w:pos="567"/>
          <w:tab w:val="left" w:pos="517" w:leader="none"/>
          <w:tab w:val="left" w:pos="683" w:leader="none"/>
        </w:tabs>
        <w:suppressAutoHyphens w:val="true"/>
        <w:bidi w:val="0"/>
        <w:spacing w:lineRule="auto" w:line="240" w:before="57" w:after="57"/>
        <w:ind w:left="-57" w:right="0" w:hanging="0"/>
        <w:jc w:val="both"/>
        <w:rPr>
          <w:rFonts w:ascii="Verdana" w:hAnsi="Verdana"/>
          <w:sz w:val="20"/>
          <w:szCs w:val="20"/>
        </w:rPr>
      </w:pPr>
      <w:r>
        <w:rPr>
          <w:rFonts w:cs="Verdana" w:ascii="Verdana" w:hAnsi="Verdana"/>
          <w:b w:val="false"/>
          <w:bCs w:val="false"/>
          <w:sz w:val="20"/>
          <w:szCs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sz w:val="20"/>
          <w:szCs w:val="20"/>
          <w:lang w:eastAsia="ar-SA"/>
        </w:rPr>
        <w:t>a) SICAF;</w:t>
      </w:r>
    </w:p>
    <w:p>
      <w:pPr>
        <w:pStyle w:val="ListParagraph"/>
        <w:spacing w:lineRule="auto" w:line="240" w:before="57" w:after="57"/>
        <w:ind w:left="0" w:right="0" w:hanging="0"/>
        <w:contextualSpacing w:val="false"/>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4">
        <w:r>
          <w:rPr>
            <w:rStyle w:val="LinkdaInternet"/>
            <w:rFonts w:cs="Verdana" w:ascii="Verdana" w:hAnsi="Verdana"/>
            <w:b w:val="false"/>
            <w:bCs w:val="false"/>
            <w:sz w:val="20"/>
            <w:szCs w:val="20"/>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val="false"/>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5">
        <w:r>
          <w:rPr>
            <w:rStyle w:val="LinkdaInternet"/>
            <w:rFonts w:cs="Verdana" w:ascii="Verdana" w:hAnsi="Verdana"/>
            <w:b w:val="false"/>
            <w:bCs w:val="false"/>
            <w:sz w:val="20"/>
            <w:szCs w:val="20"/>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nkdaInternet"/>
            <w:rFonts w:cs="Verdana" w:ascii="Verdana" w:hAnsi="Verdana"/>
            <w:b w:val="false"/>
            <w:bCs w:val="false"/>
            <w:sz w:val="20"/>
            <w:szCs w:val="20"/>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40" w:before="57" w:after="57"/>
        <w:jc w:val="both"/>
        <w:rPr/>
      </w:pPr>
      <w:r>
        <w:rPr>
          <w:rFonts w:cs="Verdana" w:ascii="Verdana" w:hAnsi="Verdana"/>
          <w:b w:val="false"/>
          <w:bCs w:val="false"/>
          <w:sz w:val="20"/>
          <w:szCs w:val="20"/>
          <w:lang w:eastAsia="ar-SA"/>
        </w:rPr>
        <w:t>10.1.1. Para a consulta de licitantes pessoa jurídica poderá haver a substituição das consultas das alíneas “b”, “c” e “d” acima pela Consulta Consolidada de Pessoa Jurídica do TCU (</w:t>
      </w:r>
      <w:hyperlink r:id="rId7">
        <w:r>
          <w:rPr>
            <w:rStyle w:val="LinkdaInternet"/>
            <w:rFonts w:cs="Verdana" w:ascii="Verdana" w:hAnsi="Verdana"/>
            <w:b w:val="false"/>
            <w:bCs w:val="false"/>
            <w:sz w:val="20"/>
            <w:szCs w:val="20"/>
            <w:lang w:eastAsia="ar-SA"/>
          </w:rPr>
          <w:t>https://certidoesapf.apps.tcu.gov.br/</w:t>
        </w:r>
      </w:hyperlink>
      <w:r>
        <w:rPr>
          <w:rFonts w:cs="Verdana" w:ascii="Verdana" w:hAnsi="Verdana"/>
          <w:b w:val="false"/>
          <w:bCs w:val="false"/>
          <w:sz w:val="20"/>
          <w:szCs w:val="20"/>
          <w:lang w:eastAsia="ar-SA"/>
        </w:rPr>
        <w:t>);</w:t>
      </w:r>
    </w:p>
    <w:p>
      <w:pPr>
        <w:pStyle w:val="Normal"/>
        <w:spacing w:lineRule="auto" w:line="240" w:before="57" w:after="57"/>
        <w:jc w:val="both"/>
        <w:rPr>
          <w:rFonts w:ascii="Verdana" w:hAnsi="Verdana"/>
          <w:sz w:val="20"/>
          <w:szCs w:val="20"/>
        </w:rPr>
      </w:pPr>
      <w:r>
        <w:rPr>
          <w:rFonts w:cs="Verdana" w:ascii="Verdana" w:hAnsi="Verdana"/>
          <w:b w:val="false"/>
          <w:bCs w:val="false"/>
          <w:color w:val="000000"/>
          <w:sz w:val="20"/>
          <w:szCs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10.1.3.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10.1.4.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10.1.5. O licitante será convocado para manifestação previamente à sua desclassificação.</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10.1.6 .Constatada a existência de sanção, o Pregoeiro reputará o licitante inabilitado, por falta de condição de participação.</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10.1.7.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sz w:val="20"/>
          <w:szCs w:val="20"/>
          <w:lang w:eastAsia="ar-SA"/>
        </w:rPr>
        <w:t xml:space="preserve">10.1.8.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sz w:val="20"/>
          <w:szCs w:val="20"/>
          <w:lang w:eastAsia="ar-SA"/>
        </w:rPr>
        <w:t>10.1.9.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10.1.10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10.1.11. O descu</w:t>
      </w:r>
      <w:r>
        <w:rPr>
          <w:rFonts w:cs="Verdana" w:ascii="Verdana" w:hAnsi="Verdana"/>
          <w:color w:val="000000"/>
          <w:sz w:val="20"/>
          <w:szCs w:val="20"/>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color w:val="000000"/>
          <w:sz w:val="20"/>
          <w:szCs w:val="20"/>
        </w:rPr>
        <w:t>10.1.12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sz w:val="20"/>
          <w:szCs w:val="20"/>
        </w:rPr>
        <w:t>10.1.13.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sz w:val="20"/>
          <w:szCs w:val="20"/>
        </w:rPr>
        <w:t>10.1.14. Não serão aceitos documentos de habilitação com indicação de CNPJ/CPF diferentes, salvo aqueles legalmente permitidos.</w:t>
      </w:r>
    </w:p>
    <w:p>
      <w:pPr>
        <w:pStyle w:val="PADRO"/>
        <w:widowControl/>
        <w:tabs>
          <w:tab w:val="clear" w:pos="708"/>
          <w:tab w:val="left" w:pos="567" w:leader="none"/>
        </w:tabs>
        <w:spacing w:lineRule="auto" w:line="240" w:before="57" w:after="57"/>
        <w:ind w:hanging="0"/>
        <w:rPr>
          <w:rFonts w:ascii="Verdana" w:hAnsi="Verdana"/>
          <w:sz w:val="20"/>
          <w:szCs w:val="20"/>
        </w:rPr>
      </w:pPr>
      <w:r>
        <w:rPr>
          <w:rFonts w:cs="Verdana" w:ascii="Verdana" w:hAnsi="Verdana"/>
          <w:b w:val="false"/>
          <w:bCs w:val="false"/>
          <w:sz w:val="20"/>
          <w:szCs w:val="20"/>
        </w:rPr>
        <w:t>10.1.15.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0" w:after="0"/>
        <w:ind w:hanging="0"/>
        <w:rPr>
          <w:rFonts w:ascii="Verdana" w:hAnsi="Verdana"/>
          <w:sz w:val="20"/>
          <w:szCs w:val="20"/>
        </w:rPr>
      </w:pPr>
      <w:r>
        <w:rPr>
          <w:rFonts w:cs="Verdana" w:ascii="Verdana" w:hAnsi="Verdana"/>
          <w:b w:val="false"/>
          <w:bCs w:val="false"/>
          <w:color w:val="000000"/>
          <w:sz w:val="20"/>
          <w:szCs w:val="20"/>
        </w:rPr>
        <w:t>10.1.16</w:t>
      </w:r>
      <w:r>
        <w:rPr>
          <w:rFonts w:cs="Verdana" w:ascii="Verdana" w:hAnsi="Verdana"/>
          <w:color w:val="000000"/>
          <w:sz w:val="20"/>
          <w:szCs w:val="20"/>
        </w:rPr>
        <w:t xml:space="preserve"> Ressalvado o disposto no item 5.3, os licitantes deverão encaminhar, nos termos deste Edital, a documentação relacionada nos itens a seguir, para fins de habilitação:</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bCs/>
          <w:color w:val="000000"/>
          <w:sz w:val="20"/>
          <w:szCs w:val="20"/>
        </w:rPr>
        <w:t>10.2 Habilitação jurídica:</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10.2.1 No caso de empresário individual: inscrição no Registro Público de Empresas Mercantis, a cargo da Junta Comercial da respectiva sede;</w:t>
      </w:r>
    </w:p>
    <w:p>
      <w:pPr>
        <w:pStyle w:val="ListParagraph"/>
        <w:spacing w:lineRule="auto" w:line="240" w:before="57" w:after="57"/>
        <w:ind w:left="0" w:right="0" w:hanging="0"/>
        <w:contextualSpacing w:val="false"/>
        <w:jc w:val="both"/>
        <w:rPr/>
      </w:pPr>
      <w:r>
        <w:rPr>
          <w:rFonts w:cs="Verdana" w:ascii="Verdana" w:hAnsi="Verdana"/>
          <w:b w:val="false"/>
          <w:bCs w:val="false"/>
          <w:color w:val="000000"/>
          <w:sz w:val="20"/>
          <w:szCs w:val="20"/>
        </w:rPr>
        <w:t xml:space="preserve">10.2.2 Em se tratando de microempreendedor individual – MEI: Certificado da Condição de Microempreendedor Individual – CCMEI, cuja aceitação ficará condicionada à verificação da autenticidade no sítio </w:t>
      </w:r>
      <w:hyperlink r:id="rId8">
        <w:r>
          <w:rPr>
            <w:rStyle w:val="LinkdaInternet"/>
            <w:rFonts w:cs="Verdana" w:ascii="Verdana" w:hAnsi="Verdana"/>
            <w:b w:val="false"/>
            <w:bCs w:val="false"/>
            <w:color w:val="000000"/>
            <w:sz w:val="20"/>
            <w:szCs w:val="20"/>
          </w:rPr>
          <w:t>www.portaldoempreendedor.gov.br</w:t>
        </w:r>
      </w:hyperlink>
      <w:r>
        <w:rPr>
          <w:rFonts w:cs="Verdana" w:ascii="Verdana" w:hAnsi="Verdana"/>
          <w:b w:val="false"/>
          <w:bCs w:val="false"/>
          <w:color w:val="000000"/>
          <w:sz w:val="20"/>
          <w:szCs w:val="20"/>
        </w:rPr>
        <w:t>;</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10.2.4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10.2.5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10.2.6</w:t>
      </w:r>
      <w:r>
        <w:rPr>
          <w:rFonts w:cs="Verdana" w:ascii="Verdana" w:hAnsi="Verdana"/>
          <w:b/>
          <w:bCs/>
          <w:color w:val="000000"/>
          <w:sz w:val="20"/>
          <w:szCs w:val="20"/>
        </w:rPr>
        <w:t xml:space="preserve"> </w:t>
      </w:r>
      <w:r>
        <w:rPr>
          <w:rFonts w:cs="Verdana"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10.2.7 No caso de empresa ou sociedade estrangeira em funcionamento no País: decreto de autorização;</w:t>
      </w:r>
    </w:p>
    <w:p>
      <w:pPr>
        <w:pStyle w:val="ListParagraph"/>
        <w:spacing w:lineRule="auto" w:line="240" w:before="0" w:after="0"/>
        <w:ind w:left="0" w:right="0" w:hanging="0"/>
        <w:contextualSpacing w:val="false"/>
        <w:jc w:val="both"/>
        <w:rPr>
          <w:rFonts w:ascii="Verdana" w:hAnsi="Verdana"/>
          <w:sz w:val="20"/>
          <w:szCs w:val="20"/>
        </w:rPr>
      </w:pPr>
      <w:r>
        <w:rPr>
          <w:rFonts w:cs="Verdana" w:ascii="Verdana" w:hAnsi="Verdana"/>
          <w:b w:val="false"/>
          <w:bCs w:val="false"/>
          <w:color w:val="000000"/>
          <w:sz w:val="20"/>
          <w:szCs w:val="20"/>
        </w:rPr>
        <w:t>10.2.8 Os documentos acima deverão estar acompanhados de todas as alterações ou da c</w:t>
      </w:r>
      <w:r>
        <w:rPr>
          <w:rFonts w:cs="Verdana" w:ascii="Verdana" w:hAnsi="Verdana"/>
          <w:bCs/>
          <w:color w:val="000000"/>
          <w:sz w:val="20"/>
          <w:szCs w:val="20"/>
        </w:rPr>
        <w:t>onsolidação respectiva;</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bCs/>
          <w:color w:val="000000"/>
          <w:sz w:val="20"/>
          <w:szCs w:val="20"/>
        </w:rPr>
        <w:t xml:space="preserve">10.3.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lang w:eastAsia="en-US"/>
        </w:rPr>
        <w:t>10.3.1 Prova de inscrição no Cadastro Nacional de Pessoas Jurídicas ou no Cadastro de Pessoas Físicas, conforme o caso;</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lang w:eastAsia="en-US"/>
        </w:rPr>
        <w:t>10.3.2 Certidão de regularidade junto à fazenda pública Municipal, do domicílio do Licitante;</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rPr>
        <w:t>10.3.3 Certidão de regularidade junto à fazenda pública Estadual, do domicílio do Licitante;</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rPr>
        <w:t>10.3.4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rPr>
        <w:t>10.3.5 Certidão de regularidade junto ao FGTS;</w:t>
      </w:r>
    </w:p>
    <w:p>
      <w:pPr>
        <w:pStyle w:val="Normal"/>
        <w:snapToGrid w:val="false"/>
        <w:spacing w:lineRule="auto" w:line="240" w:before="57" w:after="57"/>
        <w:jc w:val="both"/>
        <w:rPr>
          <w:rFonts w:ascii="Verdana" w:hAnsi="Verdana"/>
          <w:sz w:val="20"/>
          <w:szCs w:val="20"/>
        </w:rPr>
      </w:pPr>
      <w:r>
        <w:rPr>
          <w:rFonts w:cs="Verdana" w:ascii="Verdana" w:hAnsi="Verdana"/>
          <w:b w:val="false"/>
          <w:bCs w:val="false"/>
          <w:sz w:val="20"/>
          <w:szCs w:val="20"/>
          <w:lang w:eastAsia="en-US"/>
        </w:rPr>
        <w:t>10.3.6 Certidão Negativa De Débitos Trabalhistas (CNDT) de acordo com a Lei 12440 de 7 de julho de 2011.</w:t>
      </w:r>
    </w:p>
    <w:p>
      <w:pPr>
        <w:pStyle w:val="Normal"/>
        <w:snapToGrid w:val="false"/>
        <w:spacing w:lineRule="auto" w:line="240" w:before="0" w:after="0"/>
        <w:jc w:val="both"/>
        <w:rPr>
          <w:rFonts w:ascii="Verdana" w:hAnsi="Verdana"/>
          <w:sz w:val="20"/>
          <w:szCs w:val="20"/>
        </w:rPr>
      </w:pPr>
      <w:r>
        <w:rPr>
          <w:rFonts w:cs="Verdana" w:ascii="Verdana" w:hAnsi="Verdana"/>
          <w:b w:val="false"/>
          <w:bCs w:val="false"/>
          <w:color w:val="000000"/>
          <w:sz w:val="20"/>
          <w:szCs w:val="20"/>
          <w:lang w:eastAsia="en-US" w:bidi="pt-BR"/>
        </w:rPr>
        <w:t xml:space="preserve">10.3.7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 compr</w:t>
      </w:r>
      <w:r>
        <w:rPr>
          <w:rFonts w:cs="Verdana" w:ascii="Verdana" w:hAnsi="Verdana"/>
          <w:color w:val="000000"/>
          <w:sz w:val="20"/>
          <w:szCs w:val="20"/>
          <w:lang w:eastAsia="en-US"/>
        </w:rPr>
        <w:t>ovação de regularidade fiscal, mesmo que esta apresente alguma restrição, sob pena de inabilitação.</w:t>
      </w:r>
    </w:p>
    <w:p>
      <w:pPr>
        <w:pStyle w:val="ListParagraph"/>
        <w:spacing w:lineRule="auto" w:line="240" w:before="57" w:after="57"/>
        <w:ind w:left="0" w:right="0" w:hanging="0"/>
        <w:contextualSpacing w:val="false"/>
        <w:jc w:val="both"/>
        <w:rPr>
          <w:rFonts w:ascii="Verdana" w:hAnsi="Verdana"/>
          <w:sz w:val="20"/>
          <w:szCs w:val="20"/>
        </w:rPr>
      </w:pPr>
      <w:r>
        <w:rPr>
          <w:rFonts w:cs="Verdana" w:ascii="Verdana" w:hAnsi="Verdana"/>
          <w:b/>
          <w:color w:val="000000"/>
          <w:sz w:val="20"/>
          <w:szCs w:val="20"/>
        </w:rPr>
        <w:t>10.4 Qualificação Econômico-Financeira</w:t>
      </w:r>
      <w:r>
        <w:rPr>
          <w:rFonts w:cs="Verdana" w:ascii="Verdana" w:hAnsi="Verdana"/>
          <w:color w:val="000000"/>
          <w:sz w:val="20"/>
          <w:szCs w:val="20"/>
        </w:rPr>
        <w:t>.</w:t>
      </w:r>
    </w:p>
    <w:p>
      <w:pPr>
        <w:pStyle w:val="Normal"/>
        <w:tabs>
          <w:tab w:val="clear" w:pos="708"/>
          <w:tab w:val="left" w:pos="850" w:leader="none"/>
        </w:tabs>
        <w:snapToGrid w:val="false"/>
        <w:spacing w:lineRule="auto" w:line="240" w:before="57" w:after="57"/>
        <w:jc w:val="both"/>
        <w:rPr>
          <w:rFonts w:ascii="Verdana" w:hAnsi="Verdana"/>
          <w:sz w:val="20"/>
          <w:szCs w:val="20"/>
        </w:rPr>
      </w:pPr>
      <w:r>
        <w:rPr>
          <w:rFonts w:cs="Verdana" w:ascii="Verdana" w:hAnsi="Verdana"/>
          <w:b w:val="false"/>
          <w:bCs w:val="false"/>
          <w:color w:val="000000"/>
          <w:sz w:val="20"/>
          <w:szCs w:val="20"/>
          <w:u w:val="none"/>
        </w:rPr>
        <w:t>10.4.1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napToGrid w:val="false"/>
        <w:spacing w:lineRule="auto" w:line="240" w:before="57" w:after="57"/>
        <w:jc w:val="both"/>
        <w:rPr>
          <w:rFonts w:ascii="Verdana" w:hAnsi="Verdana"/>
          <w:sz w:val="20"/>
          <w:szCs w:val="20"/>
        </w:rPr>
      </w:pPr>
      <w:r>
        <w:rPr>
          <w:rFonts w:cs="Verdana" w:ascii="Verdana" w:hAnsi="Verdana"/>
          <w:b w:val="false"/>
          <w:bCs w:val="false"/>
          <w:color w:val="000000"/>
          <w:sz w:val="20"/>
          <w:szCs w:val="20"/>
          <w:u w:val="none"/>
        </w:rPr>
        <w:t>10.4.2 Havendo algum prazo de validade estabelecido por cartório na certidão citada na letra anterior, será considerado o prazo constante da certidão para comprovação da sua validade.</w:t>
      </w:r>
    </w:p>
    <w:p>
      <w:pPr>
        <w:pStyle w:val="Normal"/>
        <w:widowControl/>
        <w:tabs>
          <w:tab w:val="clear" w:pos="708"/>
          <w:tab w:val="left" w:pos="850" w:leader="none"/>
        </w:tabs>
        <w:suppressAutoHyphens w:val="true"/>
        <w:bidi w:val="0"/>
        <w:snapToGrid w:val="false"/>
        <w:spacing w:lineRule="auto" w:line="240" w:before="57" w:after="57"/>
        <w:ind w:left="-57" w:right="0" w:hanging="0"/>
        <w:jc w:val="both"/>
        <w:rPr>
          <w:rFonts w:ascii="Verdana" w:hAnsi="Verdana"/>
          <w:sz w:val="20"/>
          <w:szCs w:val="20"/>
        </w:rPr>
      </w:pPr>
      <w:r>
        <w:rPr>
          <w:rFonts w:cs="Verdana" w:ascii="Verdana" w:hAnsi="Verdana"/>
          <w:b w:val="false"/>
          <w:bCs w:val="false"/>
          <w:sz w:val="20"/>
          <w:szCs w:val="20"/>
          <w:u w:val="none"/>
        </w:rPr>
        <w:t>10.4.3 Para a contagem do prazo estabelecido na letra “a” deste capítulo, será contado a partir do primeiro dia que antecede a data da realização desta dispensa de licitação.</w:t>
      </w:r>
    </w:p>
    <w:p>
      <w:pPr>
        <w:pStyle w:val="Normal"/>
        <w:tabs>
          <w:tab w:val="clear" w:pos="708"/>
          <w:tab w:val="left" w:pos="850" w:leader="none"/>
        </w:tabs>
        <w:snapToGrid w:val="false"/>
        <w:spacing w:lineRule="auto" w:line="240" w:before="0" w:after="0"/>
        <w:ind w:left="-79" w:right="0" w:hanging="0"/>
        <w:jc w:val="both"/>
        <w:rPr>
          <w:rFonts w:ascii="Verdana" w:hAnsi="Verdana"/>
          <w:sz w:val="20"/>
          <w:szCs w:val="20"/>
        </w:rPr>
      </w:pPr>
      <w:r>
        <w:rPr>
          <w:rFonts w:cs="Verdana" w:ascii="Verdana" w:hAnsi="Verdana"/>
          <w:b w:val="false"/>
          <w:bCs w:val="false"/>
          <w:iCs/>
          <w:color w:val="000000"/>
          <w:sz w:val="20"/>
          <w:szCs w:val="20"/>
          <w:u w:val="none"/>
          <w:shd w:fill="auto" w:val="clear"/>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40" w:before="0" w:after="0"/>
        <w:ind w:left="-79" w:right="0" w:hanging="0"/>
        <w:jc w:val="both"/>
        <w:rPr>
          <w:rFonts w:ascii="Verdana" w:hAnsi="Verdana" w:cs="Verdana"/>
          <w:b w:val="false"/>
          <w:bCs w:val="false"/>
          <w:iCs/>
          <w:color w:val="000000"/>
          <w:sz w:val="20"/>
          <w:szCs w:val="20"/>
          <w:u w:val="none"/>
          <w:shd w:fill="auto" w:val="clear"/>
          <w:lang w:eastAsia="en-US"/>
        </w:rPr>
      </w:pPr>
      <w:r>
        <w:rPr>
          <w:rFonts w:cs="Verdana" w:ascii="Verdana" w:hAnsi="Verdana"/>
          <w:b w:val="false"/>
          <w:bCs w:val="false"/>
          <w:iCs/>
          <w:color w:val="000000"/>
          <w:sz w:val="20"/>
          <w:szCs w:val="20"/>
          <w:u w:val="none"/>
          <w:shd w:fill="auto" w:val="clear"/>
          <w:lang w:eastAsia="en-US"/>
        </w:rPr>
      </w:r>
    </w:p>
    <w:p>
      <w:pPr>
        <w:pStyle w:val="Normal"/>
        <w:suppressAutoHyphens w:val="false"/>
        <w:spacing w:lineRule="auto" w:line="240"/>
        <w:jc w:val="both"/>
        <w:rPr>
          <w:rFonts w:ascii="Verdana" w:hAnsi="Verdana"/>
          <w:sz w:val="20"/>
          <w:szCs w:val="20"/>
        </w:rPr>
      </w:pPr>
      <w:r>
        <w:rPr>
          <w:rFonts w:cs="Arial" w:ascii="Verdana" w:hAnsi="Verdana"/>
          <w:b/>
          <w:sz w:val="20"/>
          <w:szCs w:val="20"/>
        </w:rPr>
        <w:t>11. RESULTADOS PRETENDIDOS COM A CONTRATAÇÃO</w:t>
      </w:r>
    </w:p>
    <w:p>
      <w:pPr>
        <w:pStyle w:val="Normal"/>
        <w:spacing w:lineRule="auto" w:line="240"/>
        <w:jc w:val="both"/>
        <w:rPr>
          <w:rFonts w:ascii="Verdana" w:hAnsi="Verdana"/>
          <w:sz w:val="20"/>
          <w:szCs w:val="20"/>
        </w:rPr>
      </w:pPr>
      <w:r>
        <w:rPr>
          <w:rFonts w:cs="Arial" w:ascii="Verdana" w:hAnsi="Verdana"/>
          <w:b w:val="false"/>
          <w:bCs w:val="false"/>
          <w:sz w:val="20"/>
          <w:szCs w:val="20"/>
        </w:rPr>
        <w:t>11.1  Com a aquisição, buscaremos atender as demandas escolares e da Secretaria Municipal de Educação, visando garantir um bom atendimento aos estudantes e subsidiando o ensino.</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
        <w:spacing w:lineRule="auto" w:line="240"/>
        <w:jc w:val="both"/>
        <w:rPr>
          <w:rFonts w:ascii="Verdana" w:hAnsi="Verdana"/>
          <w:sz w:val="20"/>
          <w:szCs w:val="20"/>
        </w:rPr>
      </w:pPr>
      <w:r>
        <w:rPr>
          <w:rFonts w:cs="Arial" w:ascii="Verdana" w:hAnsi="Verdana"/>
          <w:b/>
          <w:sz w:val="20"/>
          <w:szCs w:val="20"/>
        </w:rPr>
        <w:t>12. PROVIDÊNCIAS A SEREM ADOTADAS</w:t>
      </w:r>
    </w:p>
    <w:p>
      <w:pPr>
        <w:pStyle w:val="Normal"/>
        <w:spacing w:lineRule="auto" w:line="240"/>
        <w:jc w:val="both"/>
        <w:rPr>
          <w:rFonts w:ascii="Verdana" w:hAnsi="Verdana"/>
          <w:sz w:val="20"/>
          <w:szCs w:val="20"/>
        </w:rPr>
      </w:pPr>
      <w:r>
        <w:rPr>
          <w:rFonts w:cs="Arial" w:ascii="Verdana" w:hAnsi="Verdana"/>
          <w:b w:val="false"/>
          <w:bCs w:val="false"/>
          <w:sz w:val="20"/>
          <w:szCs w:val="20"/>
        </w:rPr>
        <w:t>12.1. Com a aquisição, buscaremos atender as demandas escolares e da Secretaria Municipal de Educação, visando garantir um bom atendimento aos estudantes e subsidiando o ensino.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sz w:val="20"/>
          <w:szCs w:val="20"/>
        </w:rPr>
        <w:t>12.2 Descontinuidades do Fornecimento</w:t>
      </w:r>
    </w:p>
    <w:p>
      <w:pPr>
        <w:pStyle w:val="Normal"/>
        <w:spacing w:lineRule="auto" w:line="240"/>
        <w:jc w:val="both"/>
        <w:rPr>
          <w:rFonts w:ascii="Verdana" w:hAnsi="Verdana"/>
          <w:sz w:val="20"/>
          <w:szCs w:val="20"/>
        </w:rPr>
      </w:pPr>
      <w:r>
        <w:rPr>
          <w:rFonts w:cs="Arial" w:ascii="Verdana" w:hAnsi="Verdana"/>
          <w:b w:val="false"/>
          <w:bCs w:val="false"/>
          <w:sz w:val="20"/>
          <w:szCs w:val="20"/>
        </w:rPr>
        <w:t>12.2.1. No ca</w:t>
      </w:r>
      <w:r>
        <w:rPr>
          <w:rFonts w:cs="Arial" w:ascii="Verdana" w:hAnsi="Verdana"/>
          <w:sz w:val="20"/>
          <w:szCs w:val="20"/>
        </w:rPr>
        <w:t>so de desistência ou itens que não forem entregues, por parte da contratada, o gestor do contrato tomará as providências cabíveis, de acordo com cláusulas do edital e contrato.</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jc w:val="both"/>
        <w:rPr>
          <w:rFonts w:ascii="Verdana" w:hAnsi="Verdana"/>
          <w:sz w:val="20"/>
          <w:szCs w:val="20"/>
        </w:rPr>
      </w:pPr>
      <w:r>
        <w:rPr>
          <w:rFonts w:cs="Arial" w:ascii="Verdana" w:hAnsi="Verdana"/>
          <w:b/>
          <w:sz w:val="20"/>
          <w:szCs w:val="20"/>
        </w:rPr>
        <w:t>13. POSSÍVEIS IMPACTOS AMBIENTAIS</w:t>
      </w:r>
    </w:p>
    <w:p>
      <w:pPr>
        <w:pStyle w:val="Normal"/>
        <w:spacing w:lineRule="auto" w:line="240"/>
        <w:jc w:val="both"/>
        <w:rPr>
          <w:rFonts w:ascii="Verdana" w:hAnsi="Verdana"/>
          <w:sz w:val="20"/>
          <w:szCs w:val="20"/>
        </w:rPr>
      </w:pPr>
      <w:r>
        <w:rPr>
          <w:rFonts w:cs="Arial" w:ascii="Verdana" w:hAnsi="Verdana"/>
          <w:sz w:val="20"/>
          <w:szCs w:val="20"/>
        </w:rPr>
        <w:t>13.1. Não haverá danos ao meio ambiente</w:t>
      </w:r>
      <w:r>
        <w:rPr>
          <w:rFonts w:cs="Arial" w:ascii="Verdana" w:hAnsi="Verdana"/>
          <w:b/>
          <w:sz w:val="20"/>
          <w:szCs w:val="20"/>
        </w:rPr>
        <w:t>.</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
        <w:spacing w:lineRule="auto" w:line="240"/>
        <w:jc w:val="both"/>
        <w:rPr>
          <w:rFonts w:ascii="Verdana" w:hAnsi="Verdana"/>
          <w:sz w:val="20"/>
          <w:szCs w:val="20"/>
        </w:rPr>
      </w:pPr>
      <w:r>
        <w:rPr>
          <w:rFonts w:cs="Arial" w:ascii="Verdana" w:hAnsi="Verdana"/>
          <w:b/>
          <w:sz w:val="20"/>
          <w:szCs w:val="20"/>
        </w:rPr>
        <w:t>14. DECLARAÇÕES DE VIABILIDADE</w:t>
      </w:r>
    </w:p>
    <w:p>
      <w:pPr>
        <w:pStyle w:val="Normal"/>
        <w:spacing w:lineRule="auto" w:line="240"/>
        <w:jc w:val="both"/>
        <w:rPr>
          <w:rFonts w:ascii="Verdana" w:hAnsi="Verdana"/>
          <w:sz w:val="20"/>
          <w:szCs w:val="20"/>
        </w:rPr>
      </w:pPr>
      <w:r>
        <w:rPr>
          <w:rFonts w:cs="Arial" w:ascii="Verdana" w:hAnsi="Verdana"/>
          <w:sz w:val="20"/>
          <w:szCs w:val="20"/>
        </w:rPr>
        <w:t>14.1. A equipe de planejamento deste ETP e de acordo com a autoridade deste requerente, declara viável esta contratação.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sz w:val="20"/>
          <w:szCs w:val="20"/>
        </w:rPr>
        <w:t>18. JUSTIFICATIVAS DA VIABILIDADE</w:t>
      </w:r>
    </w:p>
    <w:p>
      <w:pPr>
        <w:pStyle w:val="Normal"/>
        <w:spacing w:lineRule="auto" w:line="240"/>
        <w:jc w:val="both"/>
        <w:rPr>
          <w:rFonts w:ascii="Verdana" w:hAnsi="Verdana"/>
          <w:sz w:val="20"/>
          <w:szCs w:val="20"/>
        </w:rPr>
      </w:pPr>
      <w:r>
        <w:rPr>
          <w:rFonts w:ascii="Verdana" w:hAnsi="Verdana"/>
          <w:sz w:val="20"/>
          <w:szCs w:val="20"/>
        </w:rPr>
        <w:t>18.1. Considerando que existe a necessidade de manter um bom atendimento aos alunos e subsidiar a educação do município, proporcionando atendimento nas necessidades básicas e oferecer também um ambiente limpo, acolhedor e facilitar as manutenções/instalações.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ind w:left="0" w:right="0" w:hanging="0"/>
        <w:jc w:val="both"/>
        <w:rPr>
          <w:rFonts w:ascii="Verdana" w:hAnsi="Verdana"/>
          <w:sz w:val="20"/>
          <w:szCs w:val="20"/>
        </w:rPr>
      </w:pPr>
      <w:r>
        <w:rPr>
          <w:rFonts w:ascii="Verdana" w:hAnsi="Verdana"/>
          <w:b/>
          <w:bCs/>
          <w:sz w:val="20"/>
          <w:szCs w:val="20"/>
        </w:rPr>
        <w:t xml:space="preserve">19. ADEQUAÇÃO ORÇAMENTÁRIA </w:t>
      </w:r>
    </w:p>
    <w:p>
      <w:pPr>
        <w:pStyle w:val="Normal"/>
        <w:spacing w:lineRule="auto" w:line="240"/>
        <w:ind w:left="0" w:right="0" w:hanging="0"/>
        <w:jc w:val="both"/>
        <w:rPr>
          <w:rFonts w:ascii="Verdana" w:hAnsi="Verdana"/>
          <w:sz w:val="20"/>
          <w:szCs w:val="20"/>
        </w:rPr>
      </w:pPr>
      <w:r>
        <w:rPr>
          <w:rFonts w:ascii="Verdana" w:hAnsi="Verdana"/>
          <w:sz w:val="20"/>
          <w:szCs w:val="20"/>
        </w:rPr>
        <w:t>19.1.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t>FICHA – FONTE: 00605-15</w:t>
      </w:r>
      <w:r>
        <w:rPr>
          <w:rFonts w:eastAsia="Times New Roman" w:cs="Times New Roman" w:ascii="Verdana" w:hAnsi="Verdana"/>
          <w:color w:val="auto"/>
          <w:kern w:val="0"/>
          <w:sz w:val="20"/>
          <w:szCs w:val="20"/>
          <w:lang w:val="pt-BR" w:eastAsia="pt-BR" w:bidi="ar-SA"/>
        </w:rPr>
        <w:t>00000250000, no valor de R$ 51.213,50 (cinquenta e um mil duzentos e treze reais e cinquenta centavos)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color w:val="000000"/>
          <w:sz w:val="20"/>
          <w:szCs w:val="20"/>
        </w:rPr>
        <w:t>16. DOS RESPONSÁVEIS PELA ELABORAÇÃO DO TERMO DE REFERÊNCIA</w:t>
      </w:r>
    </w:p>
    <w:p>
      <w:pPr>
        <w:pStyle w:val="Normal"/>
        <w:spacing w:lineRule="auto" w:line="240"/>
        <w:jc w:val="both"/>
        <w:rPr>
          <w:rFonts w:ascii="Verdana" w:hAnsi="Verdana"/>
          <w:sz w:val="20"/>
          <w:szCs w:val="20"/>
        </w:rPr>
      </w:pPr>
      <w:r>
        <w:rPr>
          <w:rFonts w:cs="Arial" w:ascii="Verdana" w:hAnsi="Verdana"/>
          <w:b w:val="false"/>
          <w:bCs w:val="false"/>
          <w:color w:val="000000"/>
          <w:sz w:val="20"/>
          <w:szCs w:val="20"/>
        </w:rPr>
        <w:t>16.1. A compilação d</w:t>
      </w:r>
      <w:r>
        <w:rPr>
          <w:rFonts w:eastAsia="Times New Roman" w:cs="Arial" w:ascii="Verdana" w:hAnsi="Verdana"/>
          <w:b w:val="false"/>
          <w:bCs w:val="false"/>
          <w:color w:val="000000"/>
          <w:kern w:val="0"/>
          <w:sz w:val="20"/>
          <w:szCs w:val="20"/>
          <w:lang w:val="pt-BR" w:eastAsia="pt-BR" w:bidi="ar-SA"/>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kern w:val="0"/>
          <w:sz w:val="20"/>
          <w:szCs w:val="20"/>
          <w:lang w:val="pt-BR" w:eastAsia="pt-BR" w:bidi="ar-SA"/>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shd w:fill="auto" w:val="clear"/>
        </w:rPr>
        <w:t>São Gabriel da Palha, 13 de</w:t>
      </w:r>
      <w:r>
        <w:rPr>
          <w:rFonts w:eastAsia="Times New Roman" w:cs="Times New Roman" w:ascii="Verdana" w:hAnsi="Verdana"/>
          <w:color w:val="000000"/>
          <w:kern w:val="0"/>
          <w:sz w:val="20"/>
          <w:szCs w:val="20"/>
          <w:shd w:fill="auto" w:val="clear"/>
          <w:lang w:val="pt-BR" w:eastAsia="pt-BR" w:bidi="ar-SA"/>
        </w:rPr>
        <w:t xml:space="preserve"> março </w:t>
      </w:r>
      <w:r>
        <w:rPr>
          <w:rFonts w:ascii="Verdana" w:hAnsi="Verdana"/>
          <w:sz w:val="20"/>
          <w:szCs w:val="20"/>
          <w:shd w:fill="auto" w:val="clear"/>
        </w:rPr>
        <w:t>de 2025</w:t>
      </w:r>
    </w:p>
    <w:p>
      <w:pPr>
        <w:pStyle w:val="Normal"/>
        <w:spacing w:lineRule="auto" w:line="240"/>
        <w:jc w:val="right"/>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sz w:val="20"/>
          <w:szCs w:val="20"/>
        </w:rPr>
      </w:pPr>
      <w:bookmarkStart w:id="0" w:name="_GoBack"/>
      <w:bookmarkStart w:id="1" w:name="_GoBack1"/>
      <w:bookmarkEnd w:id="0"/>
      <w:bookmarkEnd w:id="1"/>
      <w:r>
        <w:rPr>
          <w:rFonts w:cs="Arial" w:ascii="Verdana" w:hAnsi="Verdana"/>
          <w:b/>
          <w:bCs/>
          <w:sz w:val="20"/>
          <w:szCs w:val="20"/>
        </w:rPr>
        <w:t>Elaborado por:</w:t>
      </w:r>
    </w:p>
    <w:p>
      <w:pPr>
        <w:pStyle w:val="Normal"/>
        <w:spacing w:lineRule="auto" w:line="240"/>
        <w:jc w:val="both"/>
        <w:rPr>
          <w:rFonts w:cs="Arial"/>
          <w:b/>
          <w:bCs/>
        </w:rPr>
      </w:pPr>
      <w:r>
        <w:rPr>
          <w:rFonts w:ascii="Verdana" w:hAnsi="Verdana"/>
          <w:sz w:val="20"/>
          <w:szCs w:val="20"/>
        </w:rPr>
      </w:r>
    </w:p>
    <w:p>
      <w:pPr>
        <w:sectPr>
          <w:headerReference w:type="default" r:id="rId9"/>
          <w:footerReference w:type="default" r:id="rId10"/>
          <w:type w:val="nextPage"/>
          <w:pgSz w:w="11906" w:h="16838"/>
          <w:pgMar w:left="1517" w:right="905" w:gutter="0" w:header="227" w:top="851" w:footer="567" w:bottom="851"/>
          <w:pgNumType w:fmt="decimal"/>
          <w:formProt w:val="false"/>
          <w:textDirection w:val="lrTb"/>
          <w:docGrid w:type="default" w:linePitch="326" w:charSpace="0"/>
        </w:sectPr>
      </w:pPr>
    </w:p>
    <w:p>
      <w:pPr>
        <w:pStyle w:val="Normal"/>
        <w:spacing w:lineRule="auto" w:line="240"/>
        <w:jc w:val="both"/>
        <w:rPr>
          <w:rFonts w:ascii="Verdana" w:hAnsi="Verdana"/>
          <w:sz w:val="20"/>
          <w:szCs w:val="20"/>
        </w:rPr>
      </w:pPr>
      <w:r>
        <w:rPr>
          <w:rFonts w:cs="Arial" w:ascii="Verdana" w:hAnsi="Verdana"/>
          <w:b w:val="false"/>
          <w:bCs w:val="false"/>
          <w:sz w:val="20"/>
          <w:szCs w:val="20"/>
        </w:rPr>
        <w:t>RUTH BARBARA DA SILWA NASCIMENTO</w:t>
      </w:r>
    </w:p>
    <w:p>
      <w:pPr>
        <w:pStyle w:val="Normal"/>
        <w:spacing w:lineRule="auto" w:line="240"/>
        <w:jc w:val="both"/>
        <w:rPr>
          <w:rFonts w:ascii="Verdana" w:hAnsi="Verdana"/>
          <w:sz w:val="20"/>
          <w:szCs w:val="20"/>
        </w:rPr>
      </w:pPr>
      <w:r>
        <w:rPr>
          <w:rFonts w:cs="Arial" w:ascii="Verdana" w:hAnsi="Verdana"/>
          <w:b w:val="false"/>
          <w:bCs w:val="false"/>
          <w:sz w:val="20"/>
          <w:szCs w:val="20"/>
        </w:rPr>
        <w:t>Assistente Administrativo</w:t>
      </w:r>
    </w:p>
    <w:p>
      <w:pPr>
        <w:pStyle w:val="Normal"/>
        <w:spacing w:lineRule="auto" w:line="240"/>
        <w:jc w:val="both"/>
        <w:rPr>
          <w:rFonts w:ascii="Verdana" w:hAnsi="Verdana"/>
          <w:sz w:val="20"/>
          <w:szCs w:val="20"/>
        </w:rPr>
      </w:pPr>
      <w:r>
        <w:rPr>
          <w:rFonts w:cs="Arial" w:ascii="Verdana" w:hAnsi="Verdana"/>
          <w:b w:val="false"/>
          <w:bCs w:val="false"/>
          <w:sz w:val="20"/>
          <w:szCs w:val="20"/>
        </w:rPr>
        <w:t>Mat. nº 002983</w:t>
      </w:r>
      <w:bookmarkStart w:id="2" w:name="art116"/>
    </w:p>
    <w:p>
      <w:pPr>
        <w:sectPr>
          <w:type w:val="continuous"/>
          <w:pgSz w:w="11906" w:h="16838"/>
          <w:pgMar w:left="1517" w:right="905" w:gutter="0" w:header="227" w:top="851" w:footer="567" w:bottom="851"/>
          <w:formProt w:val="false"/>
          <w:textDirection w:val="lrTb"/>
          <w:docGrid w:type="default" w:linePitch="326" w:charSpace="0"/>
        </w:sectPr>
      </w:pPr>
    </w:p>
    <w:p>
      <w:pPr>
        <w:pStyle w:val="Normal"/>
        <w:spacing w:lineRule="auto" w:line="240"/>
        <w:rPr>
          <w:rFonts w:ascii="Verdana" w:hAnsi="Verdana"/>
          <w:sz w:val="20"/>
          <w:szCs w:val="20"/>
        </w:rPr>
      </w:pPr>
      <w:r>
        <w:rPr>
          <w:rFonts w:ascii="Verdana" w:hAnsi="Verdana"/>
          <w:sz w:val="20"/>
          <w:szCs w:val="20"/>
        </w:rPr>
      </w:r>
      <w:bookmarkStart w:id="3" w:name="art122%252525252525252525252525252525252"/>
      <w:bookmarkStart w:id="4" w:name="art122%252525252525252525252525252525252"/>
      <w:bookmarkEnd w:id="2"/>
      <w:bookmarkEnd w:id="4"/>
    </w:p>
    <w:p>
      <w:pPr>
        <w:pStyle w:val="Normal"/>
        <w:spacing w:lineRule="auto" w:line="240"/>
        <w:ind w:left="-79" w:right="0" w:hanging="0"/>
        <w:jc w:val="both"/>
        <w:rPr>
          <w:rFonts w:ascii="Verdana" w:hAnsi="Verdana"/>
          <w:b/>
          <w:bCs/>
          <w:sz w:val="20"/>
          <w:szCs w:val="20"/>
          <w:lang w:eastAsia="en-US"/>
        </w:rPr>
      </w:pPr>
      <w:r>
        <w:rPr>
          <w:rFonts w:ascii="Verdana" w:hAnsi="Verdana"/>
          <w:b/>
          <w:bCs/>
          <w:sz w:val="20"/>
          <w:szCs w:val="20"/>
          <w:lang w:eastAsia="en-US"/>
        </w:rPr>
      </w:r>
      <w:bookmarkStart w:id="5" w:name="art122%252525252525252525252525252525251"/>
      <w:bookmarkStart w:id="6" w:name="art122%252525252525252525252525252525251"/>
      <w:bookmarkEnd w:id="6"/>
    </w:p>
    <w:sectPr>
      <w:type w:val="continuous"/>
      <w:pgSz w:w="11906" w:h="16838"/>
      <w:pgMar w:left="1517" w:right="905" w:gutter="0" w:header="227" w:top="851" w:footer="567" w:bottom="851"/>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mbria" w:hAnsi="Cambria" w:eastAsia="Calibri" w:cs="Tahoma"/>
      <w:b/>
      <w:bCs/>
      <w:color w:val="365F91" w:themeColor="accent1" w:themeShade="bf"/>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LinkdaInternet">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val="365F91" w:themeColor="accent1" w:themeShade="bf"/>
      <w:sz w:val="28"/>
      <w:szCs w:val="28"/>
      <w:lang w:eastAsia="pt-BR"/>
    </w:rPr>
  </w:style>
  <w:style w:type="character" w:styleId="Marcadores">
    <w:name w:val="Marcadores"/>
    <w:qFormat/>
    <w:rPr>
      <w:rFonts w:ascii="OpenSymbol" w:hAnsi="OpenSymbol" w:eastAsia="OpenSymbol" w:cs="OpenSymbol"/>
    </w:rPr>
  </w:style>
  <w:style w:type="character" w:styleId="Linkdainternetvisitado">
    <w:name w:val="FollowedHyperlink"/>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
    <w:name w:val="Header"/>
    <w:basedOn w:val="Normal"/>
    <w:link w:val="CabealhoChar"/>
    <w:pPr>
      <w:tabs>
        <w:tab w:val="clear" w:pos="708"/>
        <w:tab w:val="center" w:pos="4419" w:leader="none"/>
        <w:tab w:val="right" w:pos="8838" w:leader="none"/>
      </w:tabs>
    </w:pPr>
    <w:rPr/>
  </w:style>
  <w:style w:type="paragraph" w:styleId="Rodap">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left="720" w:hanging="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Ttulo1"/>
    <w:next w:val="Normal"/>
    <w:link w:val="Nivel1Char"/>
    <w:qFormat/>
    <w:pPr>
      <w:suppressAutoHyphens w:val="false"/>
      <w:spacing w:lineRule="auto" w:line="276" w:before="480" w:after="120"/>
      <w:jc w:val="both"/>
      <w:outlineLvl w:val="9"/>
    </w:pPr>
    <w:rPr>
      <w:rFonts w:ascii="Arial" w:hAnsi="Arial" w:cs="Arial"/>
      <w:bCs w:val="false"/>
      <w:color w:val="000000" w:themeColor="accent1" w:themeShade="bf"/>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themeColor="accent1" w:themeShade="bf"/>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Contedodoquadro">
    <w:name w:val="Conteúdo do quadro"/>
    <w:basedOn w:val="Normal"/>
    <w:qFormat/>
    <w:pPr>
      <w:spacing w:lineRule="auto" w:line="259" w:before="0" w:after="160"/>
      <w:jc w:val="left"/>
    </w:pPr>
    <w:rPr>
      <w:rFonts w:ascii="Arial" w:hAnsi="Arial" w:eastAsia="Arial" w:cs="DejaVu Sans" w:asciiTheme="minorHAnsi" w:cstheme="minorBidi" w:eastAsiaTheme="minorHAnsi" w:hAnsiTheme="minorHAnsi"/>
      <w:color w:val="auto"/>
      <w:sz w:val="22"/>
      <w:szCs w:val="22"/>
      <w:lang w:eastAsia="en-US"/>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financeirosemecsgp@gmail.com"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788</TotalTime>
  <Application>LibreOffice/7.5.7.1$Windows_X86_64 LibreOffice_project/47eb0cf7efbacdee9b19ae25d6752381ede23126</Application>
  <AppVersion>15.0000</AppVersion>
  <Pages>9</Pages>
  <Words>4369</Words>
  <Characters>25373</Characters>
  <CharactersWithSpaces>29627</CharactersWithSpaces>
  <Paragraphs>238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2024-11-06T17:12:32Z</cp:lastPrinted>
  <dcterms:modified xsi:type="dcterms:W3CDTF">2025-04-09T13:55:17Z</dcterms:modified>
  <cp:revision>130</cp:revision>
  <dc:subject/>
  <dc:title/>
</cp:coreProperties>
</file>

<file path=docProps/custom.xml><?xml version="1.0" encoding="utf-8"?>
<Properties xmlns="http://schemas.openxmlformats.org/officeDocument/2006/custom-properties" xmlns:vt="http://schemas.openxmlformats.org/officeDocument/2006/docPropsVTypes"/>
</file>